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3943"/>
        <w:gridCol w:w="5695"/>
      </w:tblGrid>
      <w:tr>
        <w:trPr>
          <w:tblHeader w:val="true"/>
        </w:trPr>
        <w:tc>
          <w:tcPr>
            <w:tcW w:w="3943" w:type="dxa"/>
            <w:tcBorders/>
            <w:vAlign w:val="center"/>
          </w:tcPr>
          <w:p>
            <w:pPr>
              <w:pStyle w:val="TableHeading"/>
              <w:bidi w:val="0"/>
              <w:spacing w:lineRule="atLeast" w:line="315"/>
              <w:rPr>
                <w:color w:val="000000"/>
              </w:rPr>
            </w:pPr>
            <w:r>
              <w:rPr>
                <w:color w:val="000000"/>
              </w:rPr>
              <w:t>Статистичний показник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Heading"/>
              <w:bidi w:val="0"/>
              <w:spacing w:lineRule="atLeast" w:line="315"/>
              <w:rPr>
                <w:rFonts w:ascii="Open Sans;Verdana;Arial;Tahoma;sans-serif" w:hAnsi="Open Sans;Verdana;Arial;Tahoma;sans-serif"/>
                <w:b/>
                <w:b/>
                <w:bCs/>
                <w:i w:val="false"/>
                <w:caps w:val="false"/>
                <w:smallCaps w:val="false"/>
                <w:color w:val="000000"/>
                <w:sz w:val="21"/>
              </w:rPr>
            </w:pPr>
            <w:r>
              <w:rPr>
                <w:rFonts w:ascii="Open Sans;Verdana;Arial;Tahoma;sans-serif" w:hAnsi="Open Sans;Verdana;Arial;Tahoma;sans-serif"/>
                <w:b/>
                <w:bCs/>
                <w:i w:val="false"/>
                <w:caps w:val="false"/>
                <w:smallCaps w:val="false"/>
                <w:color w:val="000000"/>
                <w:sz w:val="21"/>
              </w:rPr>
              <w:t>Значення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Експлуатаційна довжина головних колій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19 787 км , електрифікованих колій — 9319 км, ширина колії — 1520 мм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Кількість залізничних станцій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1402 од.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Кількість залізничних переїздів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105 од.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Кількість переїздів на головних і станційних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4198 од. 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Інвентарний парк вантажних вагонів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85,2 тис. од. 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Інвентарний парк пасажирських вагонів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4,32 тис. од.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Інвентарний парк тепловозів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1944 од.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Інвентарний парк електровозів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1627 од.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Інвентарний парк дизель-поїздів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301 секція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Середня кількість працівників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266,3 тис. осіб</w:t>
            </w:r>
          </w:p>
        </w:tc>
      </w:tr>
      <w:tr>
        <w:trPr/>
        <w:tc>
          <w:tcPr>
            <w:tcW w:w="3943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Відправлено пасажирів за 2019 рік</w:t>
            </w:r>
          </w:p>
        </w:tc>
        <w:tc>
          <w:tcPr>
            <w:tcW w:w="5695" w:type="dxa"/>
            <w:tcBorders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149,6 млн пас.</w:t>
            </w:r>
          </w:p>
        </w:tc>
      </w:tr>
      <w:tr>
        <w:trPr/>
        <w:tc>
          <w:tcPr>
            <w:tcW w:w="3943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Перевезено вантажів за 2019 рік</w:t>
            </w:r>
          </w:p>
        </w:tc>
        <w:tc>
          <w:tcPr>
            <w:tcW w:w="5695" w:type="dxa"/>
            <w:tcBorders/>
            <w:shd w:fill="E6E9ED" w:val="clear"/>
            <w:vAlign w:val="center"/>
          </w:tcPr>
          <w:p>
            <w:pPr>
              <w:pStyle w:val="TableContents"/>
              <w:bidi w:val="0"/>
              <w:spacing w:lineRule="atLeast" w:line="315"/>
              <w:jc w:val="start"/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</w:pPr>
            <w:r>
              <w:rPr>
                <w:rFonts w:ascii="Open Sans;Verdana;Arial;Tahoma;sans-serif" w:hAnsi="Open Sans;Verdana;Arial;Tahoma;sans-serif"/>
                <w:b w:val="false"/>
                <w:i w:val="false"/>
                <w:caps w:val="false"/>
                <w:smallCaps w:val="false"/>
                <w:color w:val="000000"/>
                <w:sz w:val="21"/>
                <w:lang w:val="uk-UA"/>
              </w:rPr>
              <w:t>312,4 млн тонн</w:t>
            </w:r>
          </w:p>
        </w:tc>
      </w:tr>
    </w:tbl>
    <w:p>
      <w:pPr>
        <w:pStyle w:val="TextBody"/>
        <w:widowControl/>
        <w:bidi w:val="0"/>
        <w:ind w:start="0" w:end="0" w:hanging="0"/>
        <w:jc w:val="start"/>
        <w:rPr>
          <w:rFonts w:ascii="Open Sans;Verdana;Arial;Tahoma;sans-serif" w:hAnsi="Open Sans;Verdana;Arial;Tahom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Verdana;Arial;Tahoma;sans-serif" w:hAnsi="Open Sans;Verdana;Arial;Tahoma;sans-serif"/>
          <w:b w:val="false"/>
          <w:i w:val="false"/>
          <w:caps w:val="false"/>
          <w:smallCaps w:val="false"/>
          <w:color w:val="000000"/>
          <w:spacing w:val="0"/>
          <w:sz w:val="21"/>
        </w:rPr>
        <w:t>* Дані наведено крім тимчасово окупованої території Автономної республіки Крим і м. Севастополь, а також частини зони проведення антитерористичної операції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Open Sans">
    <w:altName w:val="Verdana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108</Words>
  <Characters>679</Characters>
  <CharactersWithSpaces>764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2024-02-05T16:41:39Z</dcterms:created>
  <dc:creator/>
  <dc:description/>
  <dc:language>uk-UA</dc:language>
  <cp:lastModifiedBy/>
  <dcterms:modified xsi:type="dcterms:W3CDTF">2024-02-05T16:42:49Z</dcterms:modified>
  <cp:revision>1</cp:revision>
  <dc:subject/>
  <dc:title/>
</cp:coreProperties>
</file>