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92" w:rsidRPr="00407BA3" w:rsidRDefault="00F65792" w:rsidP="007B72DB">
      <w:pPr>
        <w:jc w:val="center"/>
        <w:rPr>
          <w:b/>
          <w:sz w:val="28"/>
          <w:szCs w:val="28"/>
        </w:rPr>
      </w:pPr>
      <w:r w:rsidRPr="00407BA3">
        <w:rPr>
          <w:b/>
          <w:sz w:val="28"/>
          <w:szCs w:val="28"/>
        </w:rPr>
        <w:t>Аналіз регуляторного впливу</w:t>
      </w:r>
    </w:p>
    <w:p w:rsidR="002C493E" w:rsidRPr="00407BA3" w:rsidRDefault="002C493E" w:rsidP="007B72DB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  <w:r w:rsidRPr="00407BA3">
        <w:rPr>
          <w:rFonts w:ascii="Times New Roman" w:hAnsi="Times New Roman"/>
          <w:sz w:val="28"/>
          <w:szCs w:val="28"/>
        </w:rPr>
        <w:t xml:space="preserve">до проєкту наказу Міністерства </w:t>
      </w:r>
      <w:r w:rsidR="00B8752A" w:rsidRPr="00407BA3">
        <w:rPr>
          <w:rFonts w:ascii="Times New Roman" w:hAnsi="Times New Roman"/>
          <w:sz w:val="28"/>
          <w:szCs w:val="28"/>
        </w:rPr>
        <w:t>розвитку громад та територій</w:t>
      </w:r>
      <w:r w:rsidRPr="00407BA3">
        <w:rPr>
          <w:rFonts w:ascii="Times New Roman" w:hAnsi="Times New Roman"/>
          <w:sz w:val="28"/>
          <w:szCs w:val="28"/>
        </w:rPr>
        <w:t xml:space="preserve"> України </w:t>
      </w:r>
    </w:p>
    <w:p w:rsidR="00DD55C6" w:rsidRPr="006E1615" w:rsidRDefault="00A06ED7" w:rsidP="007B72DB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  <w:r w:rsidRPr="006E1615">
        <w:rPr>
          <w:rFonts w:ascii="Times New Roman" w:hAnsi="Times New Roman"/>
          <w:sz w:val="28"/>
          <w:szCs w:val="28"/>
        </w:rPr>
        <w:t>«</w:t>
      </w:r>
      <w:r w:rsidR="006E1615" w:rsidRPr="006E1615">
        <w:rPr>
          <w:rFonts w:ascii="Times New Roman" w:hAnsi="Times New Roman"/>
          <w:sz w:val="28"/>
          <w:szCs w:val="28"/>
        </w:rPr>
        <w:t>Про затвердження плану взаємодії функціональних органів у сфері захисту критичної інфраструктури для всіх режимів функціонування критичної інфраструктури</w:t>
      </w:r>
      <w:r w:rsidR="006E1615" w:rsidRPr="006E1615">
        <w:rPr>
          <w:rFonts w:ascii="Times New Roman" w:hAnsi="Times New Roman"/>
          <w:sz w:val="28"/>
        </w:rPr>
        <w:t xml:space="preserve"> та плану взаємодії та підтримання життєво важливих функцій на випадок порушення функціонування об’єктів критичної інфраструктури</w:t>
      </w:r>
      <w:r w:rsidRPr="006E1615">
        <w:rPr>
          <w:rFonts w:ascii="Times New Roman" w:hAnsi="Times New Roman"/>
          <w:sz w:val="28"/>
          <w:szCs w:val="28"/>
        </w:rPr>
        <w:t>»</w:t>
      </w:r>
      <w:r w:rsidR="00DD55C6" w:rsidRPr="006E1615">
        <w:rPr>
          <w:rFonts w:ascii="Times New Roman" w:hAnsi="Times New Roman"/>
          <w:sz w:val="28"/>
          <w:szCs w:val="28"/>
        </w:rPr>
        <w:t xml:space="preserve"> </w:t>
      </w:r>
    </w:p>
    <w:p w:rsidR="00AD4D22" w:rsidRPr="00407BA3" w:rsidRDefault="00AD4D22" w:rsidP="007B72DB">
      <w:pPr>
        <w:rPr>
          <w:sz w:val="28"/>
          <w:szCs w:val="28"/>
        </w:rPr>
      </w:pPr>
    </w:p>
    <w:p w:rsidR="00EC4118" w:rsidRDefault="0029355F" w:rsidP="00EC4118">
      <w:pPr>
        <w:pStyle w:val="rvps12"/>
        <w:shd w:val="clear" w:color="auto" w:fill="FFFFFF"/>
        <w:spacing w:before="0" w:beforeAutospacing="0" w:after="0" w:afterAutospacing="0"/>
        <w:ind w:firstLine="567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407BA3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I. Визначення проблеми</w:t>
      </w:r>
    </w:p>
    <w:p w:rsidR="00EC4118" w:rsidRDefault="00281F2D" w:rsidP="00EC4118">
      <w:pPr>
        <w:pStyle w:val="rvps1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EC4118">
        <w:rPr>
          <w:sz w:val="28"/>
          <w:szCs w:val="28"/>
        </w:rPr>
        <w:t>Відповідно</w:t>
      </w:r>
      <w:proofErr w:type="spellEnd"/>
      <w:r w:rsidRPr="00EC4118">
        <w:rPr>
          <w:sz w:val="28"/>
          <w:szCs w:val="28"/>
        </w:rPr>
        <w:t xml:space="preserve"> до </w:t>
      </w:r>
      <w:proofErr w:type="spellStart"/>
      <w:r w:rsidRPr="00EC4118">
        <w:rPr>
          <w:sz w:val="28"/>
          <w:szCs w:val="28"/>
        </w:rPr>
        <w:t>частини</w:t>
      </w:r>
      <w:proofErr w:type="spellEnd"/>
      <w:r w:rsidRPr="00EC4118">
        <w:rPr>
          <w:sz w:val="28"/>
          <w:szCs w:val="28"/>
        </w:rPr>
        <w:t xml:space="preserve"> </w:t>
      </w:r>
      <w:proofErr w:type="spellStart"/>
      <w:r w:rsidRPr="00EC4118">
        <w:rPr>
          <w:sz w:val="28"/>
          <w:szCs w:val="28"/>
        </w:rPr>
        <w:t>другої</w:t>
      </w:r>
      <w:proofErr w:type="spellEnd"/>
      <w:r w:rsidRPr="00EC4118">
        <w:rPr>
          <w:sz w:val="28"/>
          <w:szCs w:val="28"/>
        </w:rPr>
        <w:t xml:space="preserve"> статті 4 Закону України «Про критичну інфраструктуру» (далі – Закон) державна політика у сфері захисту критичної інфраструктури ґрунтується на засадах, </w:t>
      </w:r>
      <w:proofErr w:type="spellStart"/>
      <w:r w:rsidRPr="00EC4118">
        <w:rPr>
          <w:sz w:val="28"/>
          <w:szCs w:val="28"/>
        </w:rPr>
        <w:t>зокрема</w:t>
      </w:r>
      <w:proofErr w:type="spellEnd"/>
      <w:r w:rsidRPr="00EC4118">
        <w:rPr>
          <w:sz w:val="28"/>
          <w:szCs w:val="28"/>
        </w:rPr>
        <w:t>:</w:t>
      </w:r>
    </w:p>
    <w:p w:rsidR="00EC4118" w:rsidRDefault="00281F2D" w:rsidP="00EC4118">
      <w:pPr>
        <w:pStyle w:val="rvps1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EC4118">
        <w:rPr>
          <w:sz w:val="28"/>
          <w:szCs w:val="28"/>
        </w:rPr>
        <w:t>визнання</w:t>
      </w:r>
      <w:proofErr w:type="spellEnd"/>
      <w:r w:rsidRPr="00EC4118">
        <w:rPr>
          <w:sz w:val="28"/>
          <w:szCs w:val="28"/>
        </w:rPr>
        <w:t xml:space="preserve"> </w:t>
      </w:r>
      <w:proofErr w:type="spellStart"/>
      <w:r w:rsidRPr="00EC4118">
        <w:rPr>
          <w:sz w:val="28"/>
          <w:szCs w:val="28"/>
        </w:rPr>
        <w:t>необхідності</w:t>
      </w:r>
      <w:proofErr w:type="spellEnd"/>
      <w:r w:rsidRPr="00EC4118">
        <w:rPr>
          <w:sz w:val="28"/>
          <w:szCs w:val="28"/>
        </w:rPr>
        <w:t xml:space="preserve"> </w:t>
      </w:r>
      <w:proofErr w:type="spellStart"/>
      <w:r w:rsidRPr="00EC4118">
        <w:rPr>
          <w:sz w:val="28"/>
          <w:szCs w:val="28"/>
        </w:rPr>
        <w:t>забезпечення</w:t>
      </w:r>
      <w:proofErr w:type="spellEnd"/>
      <w:r w:rsidRPr="00EC4118">
        <w:rPr>
          <w:sz w:val="28"/>
          <w:szCs w:val="28"/>
        </w:rPr>
        <w:t xml:space="preserve"> </w:t>
      </w:r>
      <w:proofErr w:type="spellStart"/>
      <w:r w:rsidRPr="00EC4118">
        <w:rPr>
          <w:sz w:val="28"/>
          <w:szCs w:val="28"/>
        </w:rPr>
        <w:t>безпеки</w:t>
      </w:r>
      <w:proofErr w:type="spellEnd"/>
      <w:r w:rsidRPr="00EC4118">
        <w:rPr>
          <w:sz w:val="28"/>
          <w:szCs w:val="28"/>
        </w:rPr>
        <w:t xml:space="preserve"> та </w:t>
      </w:r>
      <w:proofErr w:type="spellStart"/>
      <w:r w:rsidRPr="00EC4118">
        <w:rPr>
          <w:sz w:val="28"/>
          <w:szCs w:val="28"/>
        </w:rPr>
        <w:t>стійкості</w:t>
      </w:r>
      <w:proofErr w:type="spellEnd"/>
      <w:r w:rsidRPr="00EC4118">
        <w:rPr>
          <w:sz w:val="28"/>
          <w:szCs w:val="28"/>
        </w:rPr>
        <w:t xml:space="preserve"> критичної інфраструктури;</w:t>
      </w:r>
      <w:bookmarkStart w:id="0" w:name="n43"/>
      <w:bookmarkStart w:id="1" w:name="n44"/>
      <w:bookmarkEnd w:id="0"/>
      <w:bookmarkEnd w:id="1"/>
    </w:p>
    <w:p w:rsidR="00EC4118" w:rsidRDefault="00281F2D" w:rsidP="00EC4118">
      <w:pPr>
        <w:pStyle w:val="rvps1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EC4118">
        <w:rPr>
          <w:sz w:val="28"/>
          <w:szCs w:val="28"/>
        </w:rPr>
        <w:t>визначення</w:t>
      </w:r>
      <w:proofErr w:type="spellEnd"/>
      <w:r w:rsidRPr="00EC4118">
        <w:rPr>
          <w:sz w:val="28"/>
          <w:szCs w:val="28"/>
        </w:rPr>
        <w:t xml:space="preserve"> </w:t>
      </w:r>
      <w:proofErr w:type="spellStart"/>
      <w:r w:rsidRPr="00EC4118">
        <w:rPr>
          <w:sz w:val="28"/>
          <w:szCs w:val="28"/>
        </w:rPr>
        <w:t>суб’єктів</w:t>
      </w:r>
      <w:proofErr w:type="spellEnd"/>
      <w:r w:rsidRPr="00EC4118">
        <w:rPr>
          <w:sz w:val="28"/>
          <w:szCs w:val="28"/>
        </w:rPr>
        <w:t xml:space="preserve"> </w:t>
      </w:r>
      <w:proofErr w:type="spellStart"/>
      <w:r w:rsidRPr="00EC4118">
        <w:rPr>
          <w:sz w:val="28"/>
          <w:szCs w:val="28"/>
        </w:rPr>
        <w:t>національної</w:t>
      </w:r>
      <w:proofErr w:type="spellEnd"/>
      <w:r w:rsidRPr="00EC4118">
        <w:rPr>
          <w:sz w:val="28"/>
          <w:szCs w:val="28"/>
        </w:rPr>
        <w:t xml:space="preserve"> </w:t>
      </w:r>
      <w:proofErr w:type="spellStart"/>
      <w:r w:rsidRPr="00EC4118">
        <w:rPr>
          <w:sz w:val="28"/>
          <w:szCs w:val="28"/>
        </w:rPr>
        <w:t>системи</w:t>
      </w:r>
      <w:proofErr w:type="spellEnd"/>
      <w:r w:rsidRPr="00EC4118">
        <w:rPr>
          <w:sz w:val="28"/>
          <w:szCs w:val="28"/>
        </w:rPr>
        <w:t xml:space="preserve"> захисту критичної інфраструктури, їх </w:t>
      </w:r>
      <w:proofErr w:type="spellStart"/>
      <w:r w:rsidRPr="00EC4118">
        <w:rPr>
          <w:sz w:val="28"/>
          <w:szCs w:val="28"/>
        </w:rPr>
        <w:t>повноважень</w:t>
      </w:r>
      <w:proofErr w:type="spellEnd"/>
      <w:r w:rsidRPr="00EC4118">
        <w:rPr>
          <w:sz w:val="28"/>
          <w:szCs w:val="28"/>
        </w:rPr>
        <w:t xml:space="preserve"> та засад </w:t>
      </w:r>
      <w:proofErr w:type="spellStart"/>
      <w:r w:rsidRPr="00EC4118">
        <w:rPr>
          <w:sz w:val="28"/>
          <w:szCs w:val="28"/>
        </w:rPr>
        <w:t>відповідальності</w:t>
      </w:r>
      <w:proofErr w:type="spellEnd"/>
      <w:r w:rsidRPr="00EC4118">
        <w:rPr>
          <w:sz w:val="28"/>
          <w:szCs w:val="28"/>
        </w:rPr>
        <w:t xml:space="preserve">, порядку </w:t>
      </w:r>
      <w:proofErr w:type="spellStart"/>
      <w:r w:rsidRPr="00EC4118">
        <w:rPr>
          <w:sz w:val="28"/>
          <w:szCs w:val="28"/>
        </w:rPr>
        <w:t>взаємодії</w:t>
      </w:r>
      <w:proofErr w:type="spellEnd"/>
      <w:r w:rsidRPr="00EC4118">
        <w:rPr>
          <w:sz w:val="28"/>
          <w:szCs w:val="28"/>
        </w:rPr>
        <w:t>;</w:t>
      </w:r>
    </w:p>
    <w:p w:rsidR="00281F2D" w:rsidRPr="00EC4118" w:rsidRDefault="00281F2D" w:rsidP="00EC4118">
      <w:pPr>
        <w:pStyle w:val="rvps1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proofErr w:type="spellStart"/>
      <w:r w:rsidRPr="00EC4118">
        <w:rPr>
          <w:sz w:val="28"/>
          <w:szCs w:val="28"/>
        </w:rPr>
        <w:t>створення</w:t>
      </w:r>
      <w:proofErr w:type="spellEnd"/>
      <w:r w:rsidRPr="00EC4118">
        <w:rPr>
          <w:sz w:val="28"/>
          <w:szCs w:val="28"/>
        </w:rPr>
        <w:t xml:space="preserve"> умов </w:t>
      </w:r>
      <w:proofErr w:type="spellStart"/>
      <w:r w:rsidRPr="00EC4118">
        <w:rPr>
          <w:sz w:val="28"/>
          <w:szCs w:val="28"/>
        </w:rPr>
        <w:t>швидкого</w:t>
      </w:r>
      <w:proofErr w:type="spellEnd"/>
      <w:r w:rsidRPr="00EC4118">
        <w:rPr>
          <w:sz w:val="28"/>
          <w:szCs w:val="28"/>
        </w:rPr>
        <w:t xml:space="preserve"> </w:t>
      </w:r>
      <w:proofErr w:type="spellStart"/>
      <w:r w:rsidRPr="00EC4118">
        <w:rPr>
          <w:sz w:val="28"/>
          <w:szCs w:val="28"/>
        </w:rPr>
        <w:t>відновлення</w:t>
      </w:r>
      <w:proofErr w:type="spellEnd"/>
      <w:r w:rsidRPr="00EC4118">
        <w:rPr>
          <w:sz w:val="28"/>
          <w:szCs w:val="28"/>
        </w:rPr>
        <w:t xml:space="preserve"> надання життєво важливих функцій та послуг у разі реалізації загроз і порушення функціонування критичної інфраструктури.</w:t>
      </w:r>
    </w:p>
    <w:p w:rsidR="00A06ED7" w:rsidRPr="00407BA3" w:rsidRDefault="00A06ED7" w:rsidP="007B72DB">
      <w:pPr>
        <w:ind w:firstLine="567"/>
        <w:jc w:val="both"/>
        <w:rPr>
          <w:sz w:val="28"/>
          <w:szCs w:val="28"/>
        </w:rPr>
      </w:pPr>
      <w:r w:rsidRPr="00407BA3">
        <w:rPr>
          <w:sz w:val="28"/>
          <w:szCs w:val="28"/>
        </w:rPr>
        <w:t>Відповідно до статті 5 Закону метою державної політики у сфері захисту критичної інфраструктури є забезпечення безпеки об’єктів критичної інфраструктури, запобігання проявам несанкціонованого втручання в їх функціонування, прогнозування та запобігання кризовим ситуаціям на об’єктах критичної інфраструктури.</w:t>
      </w:r>
      <w:bookmarkStart w:id="2" w:name="n53"/>
      <w:bookmarkEnd w:id="2"/>
      <w:r w:rsidRPr="00407BA3">
        <w:rPr>
          <w:sz w:val="28"/>
          <w:szCs w:val="28"/>
        </w:rPr>
        <w:t xml:space="preserve"> До завдань формування і реалізації державної політики у сфері захисту критичної інфраструктури належать, зокрема</w:t>
      </w:r>
      <w:r w:rsidR="001E451E" w:rsidRPr="00407BA3">
        <w:rPr>
          <w:sz w:val="28"/>
          <w:szCs w:val="28"/>
        </w:rPr>
        <w:t>,</w:t>
      </w:r>
      <w:r w:rsidRPr="00407BA3">
        <w:rPr>
          <w:sz w:val="28"/>
          <w:szCs w:val="28"/>
        </w:rPr>
        <w:t xml:space="preserve"> </w:t>
      </w:r>
      <w:r w:rsidR="00281F2D" w:rsidRPr="00EC4118">
        <w:rPr>
          <w:sz w:val="28"/>
        </w:rPr>
        <w:t xml:space="preserve">попередження кризових ситуацій, що порушують безпеку критичної інфраструктури; </w:t>
      </w:r>
      <w:r w:rsidR="006E1615" w:rsidRPr="00EC4118">
        <w:rPr>
          <w:sz w:val="28"/>
        </w:rPr>
        <w:t>розроблення нормативно-правової та нормативно-технічної бази з питань забезпечення безпеки об’єктів критичної інфраструктури</w:t>
      </w:r>
      <w:r w:rsidRPr="00EC4118">
        <w:rPr>
          <w:sz w:val="28"/>
        </w:rPr>
        <w:t>.</w:t>
      </w:r>
    </w:p>
    <w:p w:rsidR="009A58ED" w:rsidRPr="00407BA3" w:rsidRDefault="009A58ED" w:rsidP="007B72DB">
      <w:pPr>
        <w:ind w:firstLine="567"/>
        <w:jc w:val="both"/>
        <w:rPr>
          <w:sz w:val="28"/>
          <w:szCs w:val="28"/>
        </w:rPr>
      </w:pPr>
      <w:r w:rsidRPr="00407BA3">
        <w:rPr>
          <w:sz w:val="28"/>
          <w:szCs w:val="28"/>
        </w:rPr>
        <w:t>Частиною першою статті 1 Закону визначено відповідні терміни, що в ньому вживаються, зокрема:</w:t>
      </w:r>
    </w:p>
    <w:p w:rsidR="009A58ED" w:rsidRPr="00407BA3" w:rsidRDefault="009A58ED" w:rsidP="007B72DB">
      <w:pPr>
        <w:ind w:firstLine="567"/>
        <w:jc w:val="both"/>
        <w:rPr>
          <w:sz w:val="28"/>
          <w:szCs w:val="28"/>
        </w:rPr>
      </w:pPr>
      <w:r w:rsidRPr="00407BA3">
        <w:rPr>
          <w:sz w:val="28"/>
          <w:szCs w:val="28"/>
        </w:rPr>
        <w:t xml:space="preserve">захист критичної інфраструктури </w:t>
      </w:r>
      <w:r w:rsidR="00582CFC" w:rsidRPr="00407BA3">
        <w:rPr>
          <w:sz w:val="28"/>
          <w:szCs w:val="28"/>
        </w:rPr>
        <w:t>–</w:t>
      </w:r>
      <w:r w:rsidRPr="00407BA3">
        <w:rPr>
          <w:sz w:val="28"/>
          <w:szCs w:val="28"/>
        </w:rPr>
        <w:t xml:space="preserve"> всі види діяльності, що виконуються перед або під час створення, функціонування, відновлення і реорганізації об’єкта критичної інфраструктури, спрямовані на своєчасне виявлення, запобігання і нейтралізацію загроз безпеці об’єктів критичної інфраструктури, а також мінімізацію та ліквідацію наслідків у разі їх реалізації (пункт 3);</w:t>
      </w:r>
    </w:p>
    <w:p w:rsidR="009A58ED" w:rsidRPr="00407BA3" w:rsidRDefault="009A58ED" w:rsidP="007B72DB">
      <w:pPr>
        <w:ind w:firstLine="567"/>
        <w:jc w:val="both"/>
        <w:rPr>
          <w:sz w:val="28"/>
          <w:szCs w:val="28"/>
        </w:rPr>
      </w:pPr>
      <w:bookmarkStart w:id="3" w:name="n11"/>
      <w:bookmarkEnd w:id="3"/>
      <w:r w:rsidRPr="00407BA3">
        <w:rPr>
          <w:sz w:val="28"/>
          <w:szCs w:val="28"/>
        </w:rPr>
        <w:t xml:space="preserve">ідентифікація об’єкта критичної інфраструктури </w:t>
      </w:r>
      <w:r w:rsidR="00582CFC" w:rsidRPr="00407BA3">
        <w:rPr>
          <w:sz w:val="28"/>
          <w:szCs w:val="28"/>
        </w:rPr>
        <w:t>–</w:t>
      </w:r>
      <w:r w:rsidRPr="00407BA3">
        <w:rPr>
          <w:sz w:val="28"/>
          <w:szCs w:val="28"/>
        </w:rPr>
        <w:t xml:space="preserve"> процедура віднесення об’єкта інфраструктури до об’єктів критичної інфраструктури (пункт 4);</w:t>
      </w:r>
    </w:p>
    <w:p w:rsidR="009A58ED" w:rsidRPr="00407BA3" w:rsidRDefault="009A58ED" w:rsidP="007B72DB">
      <w:pPr>
        <w:ind w:firstLine="567"/>
        <w:jc w:val="both"/>
        <w:rPr>
          <w:sz w:val="28"/>
          <w:szCs w:val="28"/>
        </w:rPr>
      </w:pPr>
      <w:bookmarkStart w:id="4" w:name="n12"/>
      <w:bookmarkEnd w:id="4"/>
      <w:r w:rsidRPr="00407BA3">
        <w:rPr>
          <w:sz w:val="28"/>
          <w:szCs w:val="28"/>
        </w:rPr>
        <w:t xml:space="preserve">інцидент безпеки критичної інфраструктури </w:t>
      </w:r>
      <w:r w:rsidR="00582CFC" w:rsidRPr="00407BA3">
        <w:rPr>
          <w:sz w:val="28"/>
          <w:szCs w:val="28"/>
        </w:rPr>
        <w:t>–</w:t>
      </w:r>
      <w:r w:rsidRPr="00407BA3">
        <w:rPr>
          <w:sz w:val="28"/>
          <w:szCs w:val="28"/>
        </w:rPr>
        <w:t xml:space="preserve"> подія або ряд несприятливих подій ненавмисного характеру (природного, технічного, технологічного, помилкового, у тому числі внаслідок дії людського </w:t>
      </w:r>
      <w:proofErr w:type="spellStart"/>
      <w:r w:rsidRPr="00407BA3">
        <w:rPr>
          <w:sz w:val="28"/>
          <w:szCs w:val="28"/>
        </w:rPr>
        <w:t>фактора</w:t>
      </w:r>
      <w:proofErr w:type="spellEnd"/>
      <w:r w:rsidRPr="00407BA3">
        <w:rPr>
          <w:sz w:val="28"/>
          <w:szCs w:val="28"/>
        </w:rPr>
        <w:t xml:space="preserve">) та/або таких, що мають ознаки несанкціонованого втручання в функціонування об’єкта критичної інфраструктури, які становлять загрозу його безпеці, системі управління </w:t>
      </w:r>
      <w:r w:rsidRPr="00407BA3">
        <w:rPr>
          <w:sz w:val="28"/>
          <w:szCs w:val="28"/>
        </w:rPr>
        <w:lastRenderedPageBreak/>
        <w:t>технологічними процесами об’єкта критичної інфраструктури, створюють ймовірність порушення штатного режиму функціонування такого об’єкта (у тому числі зриву та/або блокування роботи, та/або несанкціонованого управління його ресурсами), ставлять під загрозу його захищеність (пункт 5);</w:t>
      </w:r>
    </w:p>
    <w:p w:rsidR="009A58ED" w:rsidRPr="00407BA3" w:rsidRDefault="009A58ED" w:rsidP="007B72DB">
      <w:pPr>
        <w:ind w:firstLine="567"/>
        <w:jc w:val="both"/>
        <w:rPr>
          <w:sz w:val="28"/>
          <w:szCs w:val="28"/>
        </w:rPr>
      </w:pPr>
      <w:bookmarkStart w:id="5" w:name="n13"/>
      <w:bookmarkEnd w:id="5"/>
      <w:r w:rsidRPr="00407BA3">
        <w:rPr>
          <w:sz w:val="28"/>
          <w:szCs w:val="28"/>
        </w:rPr>
        <w:t xml:space="preserve">категоризація об’єктів інфраструктури </w:t>
      </w:r>
      <w:r w:rsidR="00582CFC" w:rsidRPr="00407BA3">
        <w:rPr>
          <w:sz w:val="28"/>
          <w:szCs w:val="28"/>
        </w:rPr>
        <w:t>–</w:t>
      </w:r>
      <w:r w:rsidRPr="00407BA3">
        <w:rPr>
          <w:sz w:val="28"/>
          <w:szCs w:val="28"/>
        </w:rPr>
        <w:t xml:space="preserve"> віднесення об’єктів інфраструктури до категорій критичності об’єктів інфраструктури (пункт 6);</w:t>
      </w:r>
    </w:p>
    <w:p w:rsidR="009A58ED" w:rsidRPr="00407BA3" w:rsidRDefault="009A58ED" w:rsidP="007B72DB">
      <w:pPr>
        <w:ind w:firstLine="567"/>
        <w:jc w:val="both"/>
        <w:rPr>
          <w:sz w:val="28"/>
          <w:szCs w:val="28"/>
        </w:rPr>
      </w:pPr>
      <w:bookmarkStart w:id="6" w:name="n14"/>
      <w:bookmarkEnd w:id="6"/>
      <w:r w:rsidRPr="00407BA3">
        <w:rPr>
          <w:sz w:val="28"/>
          <w:szCs w:val="28"/>
        </w:rPr>
        <w:t xml:space="preserve">категорія критичності (критерії) об’єкта критичної інфраструктури </w:t>
      </w:r>
      <w:r w:rsidR="00582CFC" w:rsidRPr="00407BA3">
        <w:rPr>
          <w:sz w:val="28"/>
          <w:szCs w:val="28"/>
        </w:rPr>
        <w:t>–</w:t>
      </w:r>
      <w:r w:rsidRPr="00407BA3">
        <w:rPr>
          <w:sz w:val="28"/>
          <w:szCs w:val="28"/>
        </w:rPr>
        <w:t xml:space="preserve"> ступінь (відносний рівень) важливості об’єкта критичної інфраструктури, класифікована (</w:t>
      </w:r>
      <w:proofErr w:type="spellStart"/>
      <w:r w:rsidRPr="00407BA3">
        <w:rPr>
          <w:sz w:val="28"/>
          <w:szCs w:val="28"/>
        </w:rPr>
        <w:t>категоризована</w:t>
      </w:r>
      <w:proofErr w:type="spellEnd"/>
      <w:r w:rsidRPr="00407BA3">
        <w:rPr>
          <w:sz w:val="28"/>
          <w:szCs w:val="28"/>
        </w:rPr>
        <w:t>) залежно від його впливу на виконання життєво важливих функцій та/або надання життєво важливих послуг (пункт 7);</w:t>
      </w:r>
    </w:p>
    <w:p w:rsidR="00EC4118" w:rsidRDefault="009A58ED" w:rsidP="00EC4118">
      <w:pPr>
        <w:ind w:firstLine="567"/>
        <w:jc w:val="both"/>
        <w:rPr>
          <w:sz w:val="28"/>
          <w:szCs w:val="28"/>
        </w:rPr>
      </w:pPr>
      <w:bookmarkStart w:id="7" w:name="n15"/>
      <w:bookmarkEnd w:id="7"/>
      <w:r w:rsidRPr="00407BA3">
        <w:rPr>
          <w:sz w:val="28"/>
          <w:szCs w:val="28"/>
        </w:rPr>
        <w:t xml:space="preserve">кризова ситуація </w:t>
      </w:r>
      <w:r w:rsidR="00582CFC" w:rsidRPr="00407BA3">
        <w:rPr>
          <w:sz w:val="28"/>
          <w:szCs w:val="28"/>
        </w:rPr>
        <w:t>–</w:t>
      </w:r>
      <w:r w:rsidRPr="00407BA3">
        <w:rPr>
          <w:sz w:val="28"/>
          <w:szCs w:val="28"/>
        </w:rPr>
        <w:t xml:space="preserve"> порушення або загроза порушення штатного режиму функціонування критичної інфраструктури чи окремого її об’єкта, реагування на яке потребує залучення додаткових сил і ресурсів (пункт 8);</w:t>
      </w:r>
    </w:p>
    <w:p w:rsidR="00380511" w:rsidRPr="00EC4118" w:rsidRDefault="00380511" w:rsidP="00EC4118">
      <w:pPr>
        <w:ind w:firstLine="567"/>
        <w:jc w:val="both"/>
        <w:rPr>
          <w:sz w:val="28"/>
        </w:rPr>
      </w:pPr>
      <w:r w:rsidRPr="00EC4118">
        <w:rPr>
          <w:sz w:val="28"/>
        </w:rPr>
        <w:t>національна система захисту критичної інфраструктури - сукупність органів управління, сил та засобів центральних і місцевих органів виконавчої влади (військово-цивільних адміністрацій - у разі утворення), органів місцевого самоврядування, операторів критичної інфраструктури, на які покладається формування та/або реалізація державної політики у сфері захисту критичної інфраструктури</w:t>
      </w:r>
      <w:r w:rsidR="00EC4118">
        <w:rPr>
          <w:sz w:val="28"/>
        </w:rPr>
        <w:t xml:space="preserve"> </w:t>
      </w:r>
      <w:r w:rsidR="00EC4118">
        <w:rPr>
          <w:sz w:val="28"/>
          <w:szCs w:val="28"/>
        </w:rPr>
        <w:t>(пункт 11</w:t>
      </w:r>
      <w:r w:rsidR="00EC4118" w:rsidRPr="00407BA3">
        <w:rPr>
          <w:sz w:val="28"/>
          <w:szCs w:val="28"/>
        </w:rPr>
        <w:t>)</w:t>
      </w:r>
      <w:r w:rsidRPr="00EC4118">
        <w:rPr>
          <w:sz w:val="28"/>
        </w:rPr>
        <w:t>;</w:t>
      </w:r>
    </w:p>
    <w:p w:rsidR="009A58ED" w:rsidRPr="00407BA3" w:rsidRDefault="009A58ED" w:rsidP="007B72DB">
      <w:pPr>
        <w:ind w:firstLine="567"/>
        <w:jc w:val="both"/>
        <w:rPr>
          <w:sz w:val="28"/>
          <w:szCs w:val="28"/>
        </w:rPr>
      </w:pPr>
      <w:r w:rsidRPr="00407BA3">
        <w:rPr>
          <w:sz w:val="28"/>
          <w:szCs w:val="28"/>
        </w:rPr>
        <w:t xml:space="preserve">об’єкти критичної інфраструктури </w:t>
      </w:r>
      <w:r w:rsidR="00582CFC" w:rsidRPr="00407BA3">
        <w:rPr>
          <w:sz w:val="28"/>
          <w:szCs w:val="28"/>
        </w:rPr>
        <w:t>–</w:t>
      </w:r>
      <w:r w:rsidRPr="00407BA3">
        <w:rPr>
          <w:sz w:val="28"/>
          <w:szCs w:val="28"/>
        </w:rPr>
        <w:t xml:space="preserve"> об’єкти</w:t>
      </w:r>
      <w:r w:rsidR="00582CFC" w:rsidRPr="00407BA3">
        <w:rPr>
          <w:sz w:val="28"/>
          <w:szCs w:val="28"/>
        </w:rPr>
        <w:t xml:space="preserve"> </w:t>
      </w:r>
      <w:r w:rsidRPr="00407BA3">
        <w:rPr>
          <w:sz w:val="28"/>
          <w:szCs w:val="28"/>
        </w:rPr>
        <w:t>інфраструктури, системи, їх частини та їх сукупність, які є важливими для економіки, національної безпеки та оборони, порушення функціонування яких може завдати шкоди життєво важливим національним інтересам (пункт 13);</w:t>
      </w:r>
    </w:p>
    <w:p w:rsidR="00EC4118" w:rsidRDefault="009A58ED" w:rsidP="00EC4118">
      <w:pPr>
        <w:ind w:firstLine="567"/>
        <w:jc w:val="both"/>
        <w:rPr>
          <w:sz w:val="28"/>
          <w:szCs w:val="28"/>
        </w:rPr>
      </w:pPr>
      <w:bookmarkStart w:id="8" w:name="n21"/>
      <w:bookmarkEnd w:id="8"/>
      <w:r w:rsidRPr="00407BA3">
        <w:rPr>
          <w:sz w:val="28"/>
          <w:szCs w:val="28"/>
        </w:rPr>
        <w:t xml:space="preserve">оператор критичної інфраструктури </w:t>
      </w:r>
      <w:r w:rsidR="00582CFC" w:rsidRPr="00407BA3">
        <w:rPr>
          <w:sz w:val="28"/>
          <w:szCs w:val="28"/>
        </w:rPr>
        <w:t>–</w:t>
      </w:r>
      <w:r w:rsidRPr="00407BA3">
        <w:rPr>
          <w:sz w:val="28"/>
          <w:szCs w:val="28"/>
        </w:rPr>
        <w:t xml:space="preserve"> юридична особа будь-якої форми власності та/або фізична особа - підприємець, що на правах власності, оренди або на інших законних підставах здійснює управління об’єктом критичної інфраструктури та відповідає за його поточне функціонування (пункт 14);</w:t>
      </w:r>
      <w:bookmarkStart w:id="9" w:name="n22"/>
      <w:bookmarkEnd w:id="9"/>
    </w:p>
    <w:p w:rsidR="00EC4118" w:rsidRDefault="00380511" w:rsidP="00EC4118">
      <w:pPr>
        <w:ind w:firstLine="567"/>
        <w:jc w:val="both"/>
        <w:rPr>
          <w:sz w:val="28"/>
        </w:rPr>
      </w:pPr>
      <w:r w:rsidRPr="00EC4118">
        <w:rPr>
          <w:sz w:val="28"/>
        </w:rPr>
        <w:t>режим функціонування критичної інфраструктури - визначені оператором умови та вимоги до функціонування критичної інфраструктури залежно від стану і динаміки розвитку ситуації (штатний режим функціонування; режим функціонування у кризовій ситуації; режим відновлення)</w:t>
      </w:r>
      <w:r w:rsidR="00EC4118">
        <w:rPr>
          <w:sz w:val="28"/>
        </w:rPr>
        <w:t xml:space="preserve"> </w:t>
      </w:r>
      <w:r w:rsidR="00EC4118" w:rsidRPr="00407BA3">
        <w:rPr>
          <w:sz w:val="28"/>
          <w:szCs w:val="28"/>
        </w:rPr>
        <w:t xml:space="preserve">(пункт </w:t>
      </w:r>
      <w:r w:rsidR="00EC4118">
        <w:rPr>
          <w:sz w:val="28"/>
          <w:szCs w:val="28"/>
        </w:rPr>
        <w:t>19</w:t>
      </w:r>
      <w:r w:rsidR="00EC4118" w:rsidRPr="00407BA3">
        <w:rPr>
          <w:sz w:val="28"/>
          <w:szCs w:val="28"/>
        </w:rPr>
        <w:t>)</w:t>
      </w:r>
      <w:r w:rsidRPr="00EC4118">
        <w:rPr>
          <w:sz w:val="28"/>
        </w:rPr>
        <w:t>;</w:t>
      </w:r>
      <w:bookmarkStart w:id="10" w:name="n27"/>
      <w:bookmarkEnd w:id="10"/>
    </w:p>
    <w:p w:rsidR="00380511" w:rsidRPr="00EC4118" w:rsidRDefault="00380511" w:rsidP="00EC4118">
      <w:pPr>
        <w:ind w:firstLine="567"/>
        <w:jc w:val="both"/>
        <w:rPr>
          <w:sz w:val="28"/>
        </w:rPr>
      </w:pPr>
      <w:r w:rsidRPr="00EC4118">
        <w:rPr>
          <w:sz w:val="28"/>
        </w:rPr>
        <w:t>рівень критичності об’єкта критичної інфраструктури - відносна міра важливості об’єкта, якою враховується його вплив на можливість виконання життєво важливих функцій та надання життєво важливих послуг</w:t>
      </w:r>
      <w:r w:rsidR="00EC4118">
        <w:rPr>
          <w:sz w:val="28"/>
        </w:rPr>
        <w:t xml:space="preserve"> </w:t>
      </w:r>
      <w:r w:rsidR="00EC4118" w:rsidRPr="00407BA3">
        <w:rPr>
          <w:sz w:val="28"/>
          <w:szCs w:val="28"/>
        </w:rPr>
        <w:t xml:space="preserve">(пункт </w:t>
      </w:r>
      <w:r w:rsidR="00EC4118">
        <w:rPr>
          <w:sz w:val="28"/>
          <w:szCs w:val="28"/>
        </w:rPr>
        <w:t>20</w:t>
      </w:r>
      <w:r w:rsidR="00EC4118" w:rsidRPr="00407BA3">
        <w:rPr>
          <w:sz w:val="28"/>
          <w:szCs w:val="28"/>
        </w:rPr>
        <w:t>)</w:t>
      </w:r>
      <w:r w:rsidRPr="00EC4118">
        <w:rPr>
          <w:sz w:val="28"/>
        </w:rPr>
        <w:t>;</w:t>
      </w:r>
    </w:p>
    <w:p w:rsidR="009A58ED" w:rsidRPr="00407BA3" w:rsidRDefault="009A58ED" w:rsidP="007B72DB">
      <w:pPr>
        <w:ind w:firstLine="567"/>
        <w:jc w:val="both"/>
        <w:rPr>
          <w:sz w:val="28"/>
          <w:szCs w:val="28"/>
        </w:rPr>
      </w:pPr>
      <w:r w:rsidRPr="00407BA3">
        <w:rPr>
          <w:sz w:val="28"/>
          <w:szCs w:val="28"/>
        </w:rPr>
        <w:t xml:space="preserve">сектор критичної інфраструктури </w:t>
      </w:r>
      <w:r w:rsidR="00582CFC" w:rsidRPr="00407BA3">
        <w:rPr>
          <w:sz w:val="28"/>
          <w:szCs w:val="28"/>
        </w:rPr>
        <w:t>–</w:t>
      </w:r>
      <w:r w:rsidRPr="00407BA3">
        <w:rPr>
          <w:sz w:val="28"/>
          <w:szCs w:val="28"/>
        </w:rPr>
        <w:t xml:space="preserve"> сукупність об’єктів критичної інфраструктури, які належать до одного сектору (галузі) економіки та/або мають спільну функціональну спрямованість (пункт 21);</w:t>
      </w:r>
    </w:p>
    <w:p w:rsidR="009A58ED" w:rsidRPr="00407BA3" w:rsidRDefault="009A58ED" w:rsidP="007B72DB">
      <w:pPr>
        <w:ind w:firstLine="567"/>
        <w:jc w:val="both"/>
        <w:rPr>
          <w:sz w:val="28"/>
          <w:szCs w:val="28"/>
        </w:rPr>
      </w:pPr>
      <w:bookmarkStart w:id="11" w:name="n29"/>
      <w:bookmarkEnd w:id="11"/>
      <w:r w:rsidRPr="00407BA3">
        <w:rPr>
          <w:sz w:val="28"/>
          <w:szCs w:val="28"/>
        </w:rPr>
        <w:t xml:space="preserve">секторальний орган у сфері захисту критичної інфраструктури </w:t>
      </w:r>
      <w:r w:rsidR="00582CFC" w:rsidRPr="00407BA3">
        <w:rPr>
          <w:sz w:val="28"/>
          <w:szCs w:val="28"/>
        </w:rPr>
        <w:t>–</w:t>
      </w:r>
      <w:r w:rsidRPr="00407BA3">
        <w:rPr>
          <w:sz w:val="28"/>
          <w:szCs w:val="28"/>
        </w:rPr>
        <w:t xml:space="preserve"> державний орган, визначений законодавством відповідальним за забезпечення формування та реалізації державної політики у сфері захисту критичної інфраструктури в окремому секторі критичної інфраструктури (пункт 22);</w:t>
      </w:r>
    </w:p>
    <w:p w:rsidR="009A58ED" w:rsidRPr="00407BA3" w:rsidRDefault="009A58ED" w:rsidP="007B72DB">
      <w:pPr>
        <w:ind w:firstLine="567"/>
        <w:jc w:val="both"/>
        <w:rPr>
          <w:sz w:val="28"/>
          <w:szCs w:val="28"/>
        </w:rPr>
      </w:pPr>
      <w:bookmarkStart w:id="12" w:name="n30"/>
      <w:bookmarkEnd w:id="12"/>
      <w:r w:rsidRPr="00407BA3">
        <w:rPr>
          <w:sz w:val="28"/>
          <w:szCs w:val="28"/>
        </w:rPr>
        <w:lastRenderedPageBreak/>
        <w:t xml:space="preserve">стійкість критичної інфраструктури </w:t>
      </w:r>
      <w:r w:rsidR="00582CFC" w:rsidRPr="00407BA3">
        <w:rPr>
          <w:sz w:val="28"/>
          <w:szCs w:val="28"/>
        </w:rPr>
        <w:t>–</w:t>
      </w:r>
      <w:r w:rsidRPr="00407BA3">
        <w:rPr>
          <w:sz w:val="28"/>
          <w:szCs w:val="28"/>
        </w:rPr>
        <w:t xml:space="preserve"> стан критичної інфраструктури, за якого забезпечується її спроможність функціонувати у штатному режимі, адаптуватися до умов, що постійно змінюються, протистояти та швидко відновлюватися після впливу загроз будь-якого виду (пункт 23)</w:t>
      </w:r>
      <w:r w:rsidR="00380511">
        <w:rPr>
          <w:sz w:val="28"/>
          <w:szCs w:val="28"/>
        </w:rPr>
        <w:t>;</w:t>
      </w:r>
    </w:p>
    <w:p w:rsidR="00380511" w:rsidRPr="00102D9E" w:rsidRDefault="00380511" w:rsidP="00102D9E">
      <w:pPr>
        <w:ind w:firstLine="567"/>
        <w:jc w:val="both"/>
        <w:rPr>
          <w:sz w:val="28"/>
          <w:szCs w:val="28"/>
        </w:rPr>
      </w:pPr>
      <w:bookmarkStart w:id="13" w:name="n31"/>
      <w:bookmarkStart w:id="14" w:name="n255"/>
      <w:bookmarkStart w:id="15" w:name="n258"/>
      <w:bookmarkEnd w:id="13"/>
      <w:bookmarkEnd w:id="14"/>
      <w:bookmarkEnd w:id="15"/>
      <w:r w:rsidRPr="00102D9E">
        <w:rPr>
          <w:sz w:val="28"/>
          <w:szCs w:val="28"/>
        </w:rPr>
        <w:t>функціональний орган у сфері захисту критичної інфраструктури - державний орган, визначений відповідальним за функціонування окремих державних систем захисту та реагування</w:t>
      </w:r>
      <w:r w:rsidR="00102D9E">
        <w:rPr>
          <w:sz w:val="28"/>
          <w:szCs w:val="28"/>
        </w:rPr>
        <w:t xml:space="preserve"> </w:t>
      </w:r>
      <w:r w:rsidR="00102D9E" w:rsidRPr="00407BA3">
        <w:rPr>
          <w:sz w:val="28"/>
          <w:szCs w:val="28"/>
        </w:rPr>
        <w:t xml:space="preserve">(пункт </w:t>
      </w:r>
      <w:r w:rsidR="00102D9E">
        <w:rPr>
          <w:sz w:val="28"/>
          <w:szCs w:val="28"/>
        </w:rPr>
        <w:t>24</w:t>
      </w:r>
      <w:r w:rsidR="00102D9E" w:rsidRPr="00407BA3">
        <w:rPr>
          <w:sz w:val="28"/>
          <w:szCs w:val="28"/>
        </w:rPr>
        <w:t>)</w:t>
      </w:r>
      <w:r w:rsidRPr="00102D9E">
        <w:rPr>
          <w:sz w:val="28"/>
          <w:szCs w:val="28"/>
        </w:rPr>
        <w:t>.</w:t>
      </w:r>
    </w:p>
    <w:p w:rsidR="00655089" w:rsidRPr="00102D9E" w:rsidRDefault="00655089" w:rsidP="00102D9E">
      <w:pPr>
        <w:ind w:firstLine="567"/>
        <w:jc w:val="both"/>
        <w:rPr>
          <w:sz w:val="28"/>
          <w:szCs w:val="28"/>
        </w:rPr>
      </w:pPr>
      <w:r w:rsidRPr="00102D9E">
        <w:rPr>
          <w:sz w:val="28"/>
          <w:szCs w:val="28"/>
        </w:rPr>
        <w:t xml:space="preserve">Статтею 17 Закону передбачено повноваження </w:t>
      </w:r>
      <w:bookmarkStart w:id="16" w:name="n203"/>
      <w:bookmarkEnd w:id="16"/>
      <w:r w:rsidRPr="00102D9E">
        <w:rPr>
          <w:sz w:val="28"/>
          <w:szCs w:val="28"/>
        </w:rPr>
        <w:t xml:space="preserve">органів державної влади, визначених відповідальними за функціонування окремих державних систем захисту та реагування (далі – функціональні органи у сфері захисту критичної інфраструктури), зокрема: </w:t>
      </w:r>
      <w:bookmarkStart w:id="17" w:name="n204"/>
      <w:bookmarkEnd w:id="17"/>
    </w:p>
    <w:p w:rsidR="00655089" w:rsidRPr="00102D9E" w:rsidRDefault="00655089" w:rsidP="00102D9E">
      <w:pPr>
        <w:ind w:firstLine="567"/>
        <w:jc w:val="both"/>
        <w:rPr>
          <w:sz w:val="28"/>
          <w:szCs w:val="28"/>
        </w:rPr>
      </w:pPr>
      <w:r w:rsidRPr="00102D9E">
        <w:rPr>
          <w:sz w:val="28"/>
          <w:szCs w:val="28"/>
        </w:rPr>
        <w:t>участь у встановленому законодавством порядку в реагуванні на кризові ситуації, пов’язані із забезпеченням безпеки та стійкості критичної інфраструктури;</w:t>
      </w:r>
    </w:p>
    <w:p w:rsidR="00655089" w:rsidRPr="00102D9E" w:rsidRDefault="00655089" w:rsidP="00102D9E">
      <w:pPr>
        <w:ind w:firstLine="567"/>
        <w:jc w:val="both"/>
        <w:rPr>
          <w:sz w:val="28"/>
          <w:szCs w:val="28"/>
        </w:rPr>
      </w:pPr>
      <w:bookmarkStart w:id="18" w:name="n205"/>
      <w:bookmarkStart w:id="19" w:name="n207"/>
      <w:bookmarkEnd w:id="18"/>
      <w:bookmarkEnd w:id="19"/>
      <w:r w:rsidRPr="00102D9E">
        <w:rPr>
          <w:sz w:val="28"/>
          <w:szCs w:val="28"/>
        </w:rPr>
        <w:t>надання власникам та операторам інфраструктури консультацій щодо ризиків і загроз критичній інфраструктурі та заходів щодо їх нейтралізації;</w:t>
      </w:r>
    </w:p>
    <w:p w:rsidR="00655089" w:rsidRPr="00102D9E" w:rsidRDefault="00655089" w:rsidP="00102D9E">
      <w:pPr>
        <w:ind w:firstLine="567"/>
        <w:jc w:val="both"/>
        <w:rPr>
          <w:sz w:val="28"/>
          <w:szCs w:val="28"/>
        </w:rPr>
      </w:pPr>
      <w:bookmarkStart w:id="20" w:name="n208"/>
      <w:bookmarkEnd w:id="20"/>
      <w:r w:rsidRPr="00102D9E">
        <w:rPr>
          <w:sz w:val="28"/>
          <w:szCs w:val="28"/>
        </w:rPr>
        <w:t xml:space="preserve">здійснюють іншу діяльність для забезпечення стійкості та захисту критичної інфраструктури в межах повноважень, що регулюють діяльність суб’єктів захисту критичної інфраструктури, зокрема </w:t>
      </w:r>
      <w:bookmarkStart w:id="21" w:name="n209"/>
      <w:bookmarkStart w:id="22" w:name="n211"/>
      <w:bookmarkEnd w:id="21"/>
      <w:bookmarkEnd w:id="22"/>
      <w:r w:rsidRPr="00102D9E">
        <w:rPr>
          <w:sz w:val="28"/>
          <w:szCs w:val="28"/>
        </w:rPr>
        <w:t xml:space="preserve">формують пропозиції щодо національних та секторальних проектних ризиків і загроз; </w:t>
      </w:r>
      <w:bookmarkStart w:id="23" w:name="n212"/>
      <w:bookmarkEnd w:id="23"/>
      <w:r w:rsidRPr="00102D9E">
        <w:rPr>
          <w:sz w:val="28"/>
          <w:szCs w:val="28"/>
        </w:rPr>
        <w:t xml:space="preserve">забезпечують організацію взаємодії та обміну інформацією з іншими суб’єктами національної системи захисту критичної інфраструктури; </w:t>
      </w:r>
      <w:bookmarkStart w:id="24" w:name="n213"/>
      <w:bookmarkEnd w:id="24"/>
      <w:r w:rsidRPr="00102D9E">
        <w:rPr>
          <w:sz w:val="28"/>
          <w:szCs w:val="28"/>
        </w:rPr>
        <w:t>здійснюють моніторинг рівня безпеки об’єктів критичної інфраструктури у відповідних сферах.</w:t>
      </w:r>
    </w:p>
    <w:p w:rsidR="00EC243D" w:rsidRPr="00102D9E" w:rsidRDefault="00A06ED7" w:rsidP="00102D9E">
      <w:pPr>
        <w:ind w:firstLine="567"/>
        <w:jc w:val="both"/>
        <w:rPr>
          <w:sz w:val="28"/>
        </w:rPr>
      </w:pPr>
      <w:r w:rsidRPr="00102D9E">
        <w:rPr>
          <w:sz w:val="28"/>
        </w:rPr>
        <w:t xml:space="preserve">Відповідно до </w:t>
      </w:r>
      <w:r w:rsidR="00380511" w:rsidRPr="00102D9E">
        <w:rPr>
          <w:sz w:val="28"/>
        </w:rPr>
        <w:t xml:space="preserve">підпункту «в» пункту 4 частини першої статті 19 Закону України «Про критичну інфраструктуру» </w:t>
      </w:r>
      <w:r w:rsidRPr="00102D9E">
        <w:rPr>
          <w:sz w:val="28"/>
        </w:rPr>
        <w:t>державні органи, визначені відповідальними за забезпечення формування та реалізації державної політики у сфері захисту критичної інфраструктури в окремому секторі критичної інфраструктури</w:t>
      </w:r>
      <w:r w:rsidR="001E451E" w:rsidRPr="00102D9E">
        <w:rPr>
          <w:sz w:val="28"/>
        </w:rPr>
        <w:t>,</w:t>
      </w:r>
      <w:r w:rsidRPr="00102D9E">
        <w:rPr>
          <w:sz w:val="28"/>
        </w:rPr>
        <w:t xml:space="preserve"> розробляють та затверджують </w:t>
      </w:r>
      <w:bookmarkStart w:id="25" w:name="n222"/>
      <w:bookmarkEnd w:id="25"/>
      <w:r w:rsidR="00380511" w:rsidRPr="00102D9E">
        <w:rPr>
          <w:sz w:val="28"/>
        </w:rPr>
        <w:t>плани взаємодії функціональних органів у сфері захисту критичної інфраструктури у відповідних секторах для всіх режимів функціонування критичної інфраструктури; плани взаємодії та підтримання життєво важливих функцій на випадок порушення функціонування об’єктів критичної інфраструктури</w:t>
      </w:r>
      <w:r w:rsidR="00EC243D" w:rsidRPr="00102D9E">
        <w:rPr>
          <w:sz w:val="28"/>
        </w:rPr>
        <w:t>, а згідно пункту 11 – організовують функціонування системи обміну інформацією та взаємодії у відповідних секторах критичної інфраструктури між суб’єктами національної системи захисту критичної інфраструктури.</w:t>
      </w:r>
    </w:p>
    <w:p w:rsidR="00F723D3" w:rsidRPr="00102D9E" w:rsidRDefault="009B795B" w:rsidP="00102D9E">
      <w:pPr>
        <w:ind w:firstLine="567"/>
        <w:jc w:val="both"/>
        <w:rPr>
          <w:sz w:val="28"/>
        </w:rPr>
      </w:pPr>
      <w:r w:rsidRPr="00102D9E">
        <w:rPr>
          <w:sz w:val="28"/>
        </w:rPr>
        <w:t>Частиною третьою статті 22 Закону встановлено, що на</w:t>
      </w:r>
      <w:r w:rsidR="00F723D3" w:rsidRPr="00102D9E">
        <w:rPr>
          <w:sz w:val="28"/>
        </w:rPr>
        <w:t xml:space="preserve"> секторальному (галузевому) та регіональному рівнях органи державної влади розробляють і затверджують </w:t>
      </w:r>
      <w:r w:rsidRPr="00102D9E">
        <w:rPr>
          <w:sz w:val="28"/>
        </w:rPr>
        <w:t>зокрема</w:t>
      </w:r>
      <w:r w:rsidR="00F723D3" w:rsidRPr="00102D9E">
        <w:rPr>
          <w:sz w:val="28"/>
        </w:rPr>
        <w:t xml:space="preserve"> плани </w:t>
      </w:r>
      <w:r w:rsidRPr="00102D9E">
        <w:rPr>
          <w:sz w:val="28"/>
        </w:rPr>
        <w:t>взаємод</w:t>
      </w:r>
      <w:r w:rsidR="00F723D3" w:rsidRPr="00102D9E">
        <w:rPr>
          <w:sz w:val="28"/>
        </w:rPr>
        <w:t>ії</w:t>
      </w:r>
      <w:r w:rsidRPr="00102D9E">
        <w:rPr>
          <w:sz w:val="28"/>
        </w:rPr>
        <w:t>.</w:t>
      </w:r>
    </w:p>
    <w:p w:rsidR="009B795B" w:rsidRPr="00102D9E" w:rsidRDefault="009B795B" w:rsidP="00102D9E">
      <w:pPr>
        <w:ind w:firstLine="567"/>
        <w:jc w:val="both"/>
        <w:rPr>
          <w:sz w:val="28"/>
        </w:rPr>
      </w:pPr>
      <w:r w:rsidRPr="00102D9E">
        <w:rPr>
          <w:sz w:val="28"/>
        </w:rPr>
        <w:t>Взаємодія між державними системами захисту згідно із частини другої статті 24 Закону здійснюється у разі загрози виникнення або виникнення:</w:t>
      </w:r>
    </w:p>
    <w:p w:rsidR="009B795B" w:rsidRPr="00102D9E" w:rsidRDefault="009B795B" w:rsidP="00102D9E">
      <w:pPr>
        <w:ind w:firstLine="567"/>
        <w:jc w:val="both"/>
        <w:rPr>
          <w:sz w:val="28"/>
        </w:rPr>
      </w:pPr>
      <w:bookmarkStart w:id="26" w:name="n306"/>
      <w:bookmarkEnd w:id="26"/>
      <w:r w:rsidRPr="00102D9E">
        <w:rPr>
          <w:sz w:val="28"/>
        </w:rPr>
        <w:t xml:space="preserve">1) протиправних дій (у тому числі із застосуванням безпілотних літальних апаратів), захоплення об’єктів критичної інфраструктури або важливих </w:t>
      </w:r>
      <w:r w:rsidRPr="00102D9E">
        <w:rPr>
          <w:sz w:val="28"/>
        </w:rPr>
        <w:lastRenderedPageBreak/>
        <w:t>державних об’єктів, що загрожують безпеці громадян і порушують функціонування систем життєзабезпечення;</w:t>
      </w:r>
    </w:p>
    <w:p w:rsidR="009B795B" w:rsidRPr="00102D9E" w:rsidRDefault="009B795B" w:rsidP="00102D9E">
      <w:pPr>
        <w:ind w:firstLine="567"/>
        <w:jc w:val="both"/>
        <w:rPr>
          <w:sz w:val="28"/>
        </w:rPr>
      </w:pPr>
      <w:bookmarkStart w:id="27" w:name="n307"/>
      <w:bookmarkEnd w:id="27"/>
      <w:r w:rsidRPr="00102D9E">
        <w:rPr>
          <w:sz w:val="28"/>
        </w:rPr>
        <w:t>2) диверсій, терористичних актів, викрадення, навмисного знищення, пошкодження майна та інших дій на об’єктах критичної інфраструктури, важливих державних об’єктах, внаслідок яких загинули люди або заподіяно значну матеріальну шкоду;</w:t>
      </w:r>
    </w:p>
    <w:p w:rsidR="009B795B" w:rsidRPr="00102D9E" w:rsidRDefault="009B795B" w:rsidP="00102D9E">
      <w:pPr>
        <w:ind w:firstLine="567"/>
        <w:jc w:val="both"/>
        <w:rPr>
          <w:sz w:val="28"/>
        </w:rPr>
      </w:pPr>
      <w:bookmarkStart w:id="28" w:name="n308"/>
      <w:bookmarkEnd w:id="28"/>
      <w:r w:rsidRPr="00102D9E">
        <w:rPr>
          <w:sz w:val="28"/>
        </w:rPr>
        <w:t xml:space="preserve">3) масштабних кібератак, актів </w:t>
      </w:r>
      <w:proofErr w:type="spellStart"/>
      <w:r w:rsidRPr="00102D9E">
        <w:rPr>
          <w:sz w:val="28"/>
        </w:rPr>
        <w:t>кібертероризму</w:t>
      </w:r>
      <w:proofErr w:type="spellEnd"/>
      <w:r w:rsidRPr="00102D9E">
        <w:rPr>
          <w:sz w:val="28"/>
        </w:rPr>
        <w:t xml:space="preserve"> проти систем управління, операційних та інших систем об’єктів критичної інфраструктури;</w:t>
      </w:r>
    </w:p>
    <w:p w:rsidR="009B795B" w:rsidRPr="00102D9E" w:rsidRDefault="009B795B" w:rsidP="00102D9E">
      <w:pPr>
        <w:ind w:firstLine="567"/>
        <w:jc w:val="both"/>
        <w:rPr>
          <w:sz w:val="28"/>
        </w:rPr>
      </w:pPr>
      <w:bookmarkStart w:id="29" w:name="n309"/>
      <w:bookmarkEnd w:id="29"/>
      <w:r w:rsidRPr="00102D9E">
        <w:rPr>
          <w:sz w:val="28"/>
        </w:rPr>
        <w:t>4) надзвичайних ситуацій або інших небезпечних подій на об’єктах критичної інфраструктури та важливих державних об’єктах;</w:t>
      </w:r>
    </w:p>
    <w:p w:rsidR="009B795B" w:rsidRPr="00102D9E" w:rsidRDefault="009B795B" w:rsidP="00102D9E">
      <w:pPr>
        <w:ind w:firstLine="567"/>
        <w:jc w:val="both"/>
        <w:rPr>
          <w:sz w:val="28"/>
        </w:rPr>
      </w:pPr>
      <w:bookmarkStart w:id="30" w:name="n310"/>
      <w:bookmarkEnd w:id="30"/>
      <w:r w:rsidRPr="00102D9E">
        <w:rPr>
          <w:sz w:val="28"/>
        </w:rPr>
        <w:t>5) аварій та технічних збоїв, кризових ситуацій на об’єктах критичної інфраструктури, що створюють загрозу життю та здоров’ю персоналу таких об’єктів та місцевого населення.</w:t>
      </w:r>
    </w:p>
    <w:p w:rsidR="009B795B" w:rsidRPr="00102D9E" w:rsidRDefault="009B795B" w:rsidP="00102D9E">
      <w:pPr>
        <w:ind w:firstLine="567"/>
        <w:jc w:val="both"/>
        <w:rPr>
          <w:sz w:val="28"/>
        </w:rPr>
      </w:pPr>
      <w:bookmarkStart w:id="31" w:name="n311"/>
      <w:bookmarkEnd w:id="31"/>
      <w:r w:rsidRPr="00102D9E">
        <w:rPr>
          <w:sz w:val="28"/>
        </w:rPr>
        <w:t>Частиною третьою статті 24 Закону передбачено, що організація взаємодії між суб’єктами національної системи захисту критичної інфраструктури здійснюється шляхом:</w:t>
      </w:r>
    </w:p>
    <w:p w:rsidR="009B795B" w:rsidRPr="00102D9E" w:rsidRDefault="009B795B" w:rsidP="00102D9E">
      <w:pPr>
        <w:ind w:firstLine="567"/>
        <w:jc w:val="both"/>
        <w:rPr>
          <w:sz w:val="28"/>
        </w:rPr>
      </w:pPr>
      <w:bookmarkStart w:id="32" w:name="n312"/>
      <w:bookmarkEnd w:id="32"/>
      <w:r w:rsidRPr="00102D9E">
        <w:rPr>
          <w:sz w:val="28"/>
        </w:rPr>
        <w:t>1) оперативного обміну інформацією щодо виконання завдань із захисту критичної інфраструктури;</w:t>
      </w:r>
    </w:p>
    <w:p w:rsidR="009B795B" w:rsidRPr="00102D9E" w:rsidRDefault="009B795B" w:rsidP="00102D9E">
      <w:pPr>
        <w:ind w:firstLine="567"/>
        <w:jc w:val="both"/>
        <w:rPr>
          <w:sz w:val="28"/>
        </w:rPr>
      </w:pPr>
      <w:bookmarkStart w:id="33" w:name="n313"/>
      <w:bookmarkEnd w:id="33"/>
      <w:r w:rsidRPr="00102D9E">
        <w:rPr>
          <w:sz w:val="28"/>
        </w:rPr>
        <w:t>2) проведення спільних оперативних нарад керівного складу уповноваженого органу у сфері захисту критичної інфраструктури України, центральних та територіальних органів Національної поліції України, Служби безпеки України, Національної гвардії України, Збройних Сил України, Державної служби України з питань надзвичайних ситуацій та інших заінтересованих державних органів;</w:t>
      </w:r>
    </w:p>
    <w:p w:rsidR="009B795B" w:rsidRPr="00102D9E" w:rsidRDefault="009B795B" w:rsidP="00102D9E">
      <w:pPr>
        <w:ind w:firstLine="567"/>
        <w:jc w:val="both"/>
        <w:rPr>
          <w:sz w:val="28"/>
        </w:rPr>
      </w:pPr>
      <w:bookmarkStart w:id="34" w:name="n314"/>
      <w:bookmarkEnd w:id="34"/>
      <w:r w:rsidRPr="00102D9E">
        <w:rPr>
          <w:sz w:val="28"/>
        </w:rPr>
        <w:t>3) здійснення спільних заходів із захисту критичної інфраструктури за планами, що розробляються на загальнодержавному, галузевому, регіональному місцевому та об’єктовому рівнях;</w:t>
      </w:r>
    </w:p>
    <w:p w:rsidR="009B795B" w:rsidRPr="00102D9E" w:rsidRDefault="009B795B" w:rsidP="00102D9E">
      <w:pPr>
        <w:ind w:firstLine="567"/>
        <w:jc w:val="both"/>
        <w:rPr>
          <w:sz w:val="28"/>
        </w:rPr>
      </w:pPr>
      <w:bookmarkStart w:id="35" w:name="n315"/>
      <w:bookmarkEnd w:id="35"/>
      <w:r w:rsidRPr="00102D9E">
        <w:rPr>
          <w:sz w:val="28"/>
        </w:rPr>
        <w:t>4) проведення спільних командно-штабних, тактико-спеціальних навчань, спільних тренувань та занять із захисту, охорони, оборони, припинення злочинних дій, інцидентів та кібератак проти об’єктів критичної інформаційної інфраструктури;</w:t>
      </w:r>
    </w:p>
    <w:p w:rsidR="009B795B" w:rsidRPr="00102D9E" w:rsidRDefault="009B795B" w:rsidP="00102D9E">
      <w:pPr>
        <w:ind w:firstLine="567"/>
        <w:jc w:val="both"/>
        <w:rPr>
          <w:sz w:val="28"/>
        </w:rPr>
      </w:pPr>
      <w:bookmarkStart w:id="36" w:name="n316"/>
      <w:bookmarkEnd w:id="36"/>
      <w:r w:rsidRPr="00102D9E">
        <w:rPr>
          <w:sz w:val="28"/>
        </w:rPr>
        <w:t>5) регулярного уточнення розрахунків сил та засобів, що залучаються до спільного виконання завдань із захисту об’єктів критичної інфраструктури та важливих державних об’єктів;</w:t>
      </w:r>
    </w:p>
    <w:p w:rsidR="009B795B" w:rsidRPr="00102D9E" w:rsidRDefault="009B795B" w:rsidP="00102D9E">
      <w:pPr>
        <w:ind w:firstLine="567"/>
        <w:jc w:val="both"/>
        <w:rPr>
          <w:sz w:val="28"/>
        </w:rPr>
      </w:pPr>
      <w:bookmarkStart w:id="37" w:name="n317"/>
      <w:bookmarkEnd w:id="37"/>
      <w:r w:rsidRPr="00102D9E">
        <w:rPr>
          <w:sz w:val="28"/>
        </w:rPr>
        <w:t>6) спільних заходів з припинення протиправних дій проти об’єктів критичної інфраструктури або важливих державних об’єктів, що загрожують безпеці громадян і порушують функціонування таких об’єктів;</w:t>
      </w:r>
    </w:p>
    <w:p w:rsidR="009B795B" w:rsidRPr="00102D9E" w:rsidRDefault="009B795B" w:rsidP="00102D9E">
      <w:pPr>
        <w:ind w:firstLine="567"/>
        <w:jc w:val="both"/>
        <w:rPr>
          <w:sz w:val="28"/>
        </w:rPr>
      </w:pPr>
      <w:bookmarkStart w:id="38" w:name="n318"/>
      <w:bookmarkEnd w:id="38"/>
      <w:r w:rsidRPr="00102D9E">
        <w:rPr>
          <w:sz w:val="28"/>
        </w:rPr>
        <w:t>7) участі у реагуванні та ліквідації наслідків інцидентів, кризових ситуацій на об’єктах критичної інфраструктури;</w:t>
      </w:r>
    </w:p>
    <w:p w:rsidR="009B795B" w:rsidRPr="00102D9E" w:rsidRDefault="009B795B" w:rsidP="00102D9E">
      <w:pPr>
        <w:ind w:firstLine="567"/>
        <w:jc w:val="both"/>
        <w:rPr>
          <w:sz w:val="28"/>
        </w:rPr>
      </w:pPr>
      <w:bookmarkStart w:id="39" w:name="n319"/>
      <w:bookmarkEnd w:id="39"/>
      <w:r w:rsidRPr="00102D9E">
        <w:rPr>
          <w:sz w:val="28"/>
        </w:rPr>
        <w:t>8) координації дій з підтримання або відновлення правопорядку в місцях розташування об’єктів критичної інфраструктури у разі виникнення кризових ситуацій;</w:t>
      </w:r>
    </w:p>
    <w:p w:rsidR="009B795B" w:rsidRPr="00102D9E" w:rsidRDefault="009B795B" w:rsidP="00102D9E">
      <w:pPr>
        <w:ind w:firstLine="567"/>
        <w:jc w:val="both"/>
        <w:rPr>
          <w:sz w:val="28"/>
        </w:rPr>
      </w:pPr>
      <w:bookmarkStart w:id="40" w:name="n320"/>
      <w:bookmarkEnd w:id="40"/>
      <w:r w:rsidRPr="00102D9E">
        <w:rPr>
          <w:sz w:val="28"/>
        </w:rPr>
        <w:lastRenderedPageBreak/>
        <w:t>9) здійснення інших заходів, передбачених законодавством.</w:t>
      </w:r>
    </w:p>
    <w:p w:rsidR="00A06ED7" w:rsidRDefault="00A06ED7" w:rsidP="007B72DB">
      <w:pPr>
        <w:ind w:firstLine="567"/>
        <w:jc w:val="both"/>
        <w:rPr>
          <w:sz w:val="28"/>
          <w:szCs w:val="28"/>
        </w:rPr>
      </w:pPr>
      <w:r w:rsidRPr="00407BA3">
        <w:rPr>
          <w:sz w:val="28"/>
          <w:szCs w:val="28"/>
        </w:rPr>
        <w:t>Відповідно до підпункту 2 пункту 3 Положення про Міністерство розвитку громад та територій України, затвердженого постановою Кабінету Міністрів України від 30 червня 2015 року № 460 (в редакції постанови Кабінету Міністрів України від 17 грудня 2022 року № 1400), одним із основних завдань Мінрозвитку є забезпечення формування та реалізації державної політики з питань захисту критичної інфраструктури у секторах, за які відповідальне Міністерство.</w:t>
      </w:r>
    </w:p>
    <w:p w:rsidR="00655089" w:rsidRDefault="00655089" w:rsidP="00655089">
      <w:pPr>
        <w:ind w:firstLine="567"/>
        <w:jc w:val="both"/>
        <w:rPr>
          <w:sz w:val="28"/>
          <w:szCs w:val="28"/>
        </w:rPr>
      </w:pPr>
      <w:r w:rsidRPr="00655089">
        <w:rPr>
          <w:sz w:val="28"/>
          <w:szCs w:val="28"/>
        </w:rPr>
        <w:t>План взаємодії функціональних органів у сфері захисту</w:t>
      </w:r>
      <w:r>
        <w:rPr>
          <w:sz w:val="28"/>
          <w:szCs w:val="28"/>
        </w:rPr>
        <w:t xml:space="preserve"> </w:t>
      </w:r>
      <w:r w:rsidRPr="00655089">
        <w:rPr>
          <w:sz w:val="28"/>
          <w:szCs w:val="28"/>
        </w:rPr>
        <w:t>критичної інфраструктури для всіх режимів</w:t>
      </w:r>
      <w:r>
        <w:rPr>
          <w:sz w:val="28"/>
          <w:szCs w:val="28"/>
        </w:rPr>
        <w:t xml:space="preserve"> </w:t>
      </w:r>
      <w:r w:rsidRPr="00655089">
        <w:rPr>
          <w:sz w:val="28"/>
          <w:szCs w:val="28"/>
        </w:rPr>
        <w:t>функціонування критичної інфраструктури визначає основні організаційні</w:t>
      </w:r>
      <w:r w:rsidRPr="00B5334F">
        <w:rPr>
          <w:sz w:val="28"/>
          <w:szCs w:val="28"/>
        </w:rPr>
        <w:t xml:space="preserve"> засади взаємодії функціональних органів у сфері захисту критичної інфраструктури для всіх режимів функціонування критичної інфраструктури (штатний режим, режим готовності та запобігання реалізації загроз, режим реагування на виникнення кризової ситуації, режим відновлення штатного режиму) у секторах «транспорт і пошта» та «системи життєзабезпечення», в межах їх функцій та повноважень, визначених Законом</w:t>
      </w:r>
      <w:r>
        <w:rPr>
          <w:sz w:val="28"/>
          <w:szCs w:val="28"/>
        </w:rPr>
        <w:t>.</w:t>
      </w:r>
    </w:p>
    <w:p w:rsidR="00655089" w:rsidRPr="00F0700F" w:rsidRDefault="00F0700F" w:rsidP="00655089">
      <w:pPr>
        <w:ind w:firstLine="567"/>
        <w:jc w:val="both"/>
        <w:rPr>
          <w:sz w:val="28"/>
          <w:szCs w:val="28"/>
        </w:rPr>
      </w:pPr>
      <w:r w:rsidRPr="00F0643B">
        <w:rPr>
          <w:sz w:val="28"/>
          <w:szCs w:val="28"/>
        </w:rPr>
        <w:t>План</w:t>
      </w:r>
      <w:r w:rsidRPr="00F0643B">
        <w:rPr>
          <w:sz w:val="28"/>
        </w:rPr>
        <w:t xml:space="preserve"> взаємодії та підтримання життєво важливих функцій на випадок </w:t>
      </w:r>
      <w:r w:rsidRPr="005C537D">
        <w:rPr>
          <w:sz w:val="28"/>
        </w:rPr>
        <w:t>порушення функціонування об’єктів критичної інфраструктури</w:t>
      </w:r>
      <w:r>
        <w:rPr>
          <w:sz w:val="28"/>
        </w:rPr>
        <w:t xml:space="preserve"> передбачає </w:t>
      </w:r>
      <w:r w:rsidRPr="00F0700F">
        <w:rPr>
          <w:sz w:val="28"/>
        </w:rPr>
        <w:t>вжиття основних заходів підтримання життєво важливих функцій у секторах критичної інфраструктури, за які відповідальне Мінрозвитку.</w:t>
      </w:r>
    </w:p>
    <w:p w:rsidR="002C7258" w:rsidRPr="00407BA3" w:rsidRDefault="0059653B" w:rsidP="007B72DB">
      <w:pPr>
        <w:ind w:firstLine="567"/>
        <w:jc w:val="both"/>
        <w:rPr>
          <w:rStyle w:val="st1"/>
          <w:sz w:val="28"/>
          <w:szCs w:val="28"/>
        </w:rPr>
      </w:pPr>
      <w:r w:rsidRPr="00407BA3">
        <w:rPr>
          <w:rStyle w:val="st1"/>
          <w:sz w:val="28"/>
          <w:szCs w:val="28"/>
        </w:rPr>
        <w:t xml:space="preserve">Виходячи із зазначеного, </w:t>
      </w:r>
      <w:r w:rsidRPr="00407BA3">
        <w:rPr>
          <w:bCs/>
          <w:color w:val="000000"/>
          <w:sz w:val="28"/>
          <w:szCs w:val="28"/>
        </w:rPr>
        <w:t xml:space="preserve">метою прийняття зазначеного </w:t>
      </w:r>
      <w:r w:rsidRPr="00407BA3">
        <w:rPr>
          <w:sz w:val="28"/>
          <w:szCs w:val="28"/>
        </w:rPr>
        <w:t xml:space="preserve">проєкту </w:t>
      </w:r>
      <w:r w:rsidR="00A06ED7" w:rsidRPr="00407BA3">
        <w:rPr>
          <w:sz w:val="28"/>
          <w:szCs w:val="28"/>
        </w:rPr>
        <w:t xml:space="preserve">наказу Мінрозвитку є реалізація </w:t>
      </w:r>
      <w:r w:rsidR="00F723D3">
        <w:rPr>
          <w:sz w:val="28"/>
          <w:szCs w:val="28"/>
        </w:rPr>
        <w:t xml:space="preserve">підпункту «в» </w:t>
      </w:r>
      <w:r w:rsidR="00A06ED7" w:rsidRPr="00407BA3">
        <w:rPr>
          <w:sz w:val="28"/>
          <w:szCs w:val="28"/>
        </w:rPr>
        <w:t>пункту 4 частини першої статті 19 Закону України «Про критичну інфраструктуру»</w:t>
      </w:r>
      <w:r w:rsidR="00EA0D7D" w:rsidRPr="00407BA3">
        <w:rPr>
          <w:sz w:val="28"/>
          <w:szCs w:val="28"/>
        </w:rPr>
        <w:t>.</w:t>
      </w:r>
    </w:p>
    <w:p w:rsidR="009A39C4" w:rsidRPr="00407BA3" w:rsidRDefault="009A39C4" w:rsidP="007B72DB">
      <w:pPr>
        <w:ind w:firstLine="567"/>
        <w:jc w:val="both"/>
        <w:rPr>
          <w:sz w:val="28"/>
          <w:szCs w:val="28"/>
        </w:rPr>
      </w:pPr>
      <w:r w:rsidRPr="00407BA3">
        <w:rPr>
          <w:sz w:val="28"/>
          <w:szCs w:val="28"/>
        </w:rPr>
        <w:t>Станом на 01.01.202</w:t>
      </w:r>
      <w:r w:rsidR="008B0B0C" w:rsidRPr="00407BA3">
        <w:rPr>
          <w:sz w:val="28"/>
          <w:szCs w:val="28"/>
        </w:rPr>
        <w:t>5</w:t>
      </w:r>
      <w:r w:rsidR="002763CD" w:rsidRPr="00407BA3">
        <w:rPr>
          <w:sz w:val="28"/>
          <w:szCs w:val="28"/>
        </w:rPr>
        <w:t xml:space="preserve"> кількість </w:t>
      </w:r>
      <w:r w:rsidR="009A58ED" w:rsidRPr="00407BA3">
        <w:rPr>
          <w:sz w:val="28"/>
          <w:szCs w:val="28"/>
        </w:rPr>
        <w:t>об’єктів критичної інфраструктури</w:t>
      </w:r>
      <w:r w:rsidR="002763CD" w:rsidRPr="00407BA3">
        <w:rPr>
          <w:sz w:val="28"/>
          <w:szCs w:val="28"/>
        </w:rPr>
        <w:t xml:space="preserve">, що підпадають під дію регулювання </w:t>
      </w:r>
      <w:r w:rsidR="009A58ED" w:rsidRPr="00407BA3">
        <w:rPr>
          <w:sz w:val="28"/>
          <w:szCs w:val="28"/>
        </w:rPr>
        <w:t xml:space="preserve">наказом – </w:t>
      </w:r>
      <w:r w:rsidR="00A06ED7" w:rsidRPr="00407BA3">
        <w:rPr>
          <w:sz w:val="28"/>
          <w:szCs w:val="28"/>
        </w:rPr>
        <w:t>5031,</w:t>
      </w:r>
      <w:r w:rsidR="002763CD" w:rsidRPr="00407BA3">
        <w:rPr>
          <w:sz w:val="28"/>
          <w:szCs w:val="28"/>
        </w:rPr>
        <w:t xml:space="preserve"> з яких </w:t>
      </w:r>
      <w:r w:rsidR="00A06ED7" w:rsidRPr="00407BA3">
        <w:rPr>
          <w:sz w:val="28"/>
          <w:szCs w:val="28"/>
        </w:rPr>
        <w:t>належать до</w:t>
      </w:r>
      <w:r w:rsidR="002763CD" w:rsidRPr="00407BA3">
        <w:rPr>
          <w:sz w:val="28"/>
          <w:szCs w:val="28"/>
        </w:rPr>
        <w:t xml:space="preserve"> </w:t>
      </w:r>
      <w:r w:rsidR="00A06ED7" w:rsidRPr="00407BA3">
        <w:rPr>
          <w:color w:val="000000"/>
          <w:sz w:val="28"/>
          <w:szCs w:val="28"/>
        </w:rPr>
        <w:t>І</w:t>
      </w:r>
      <w:r w:rsidR="00A06ED7" w:rsidRPr="00407BA3">
        <w:rPr>
          <w:sz w:val="28"/>
          <w:szCs w:val="28"/>
        </w:rPr>
        <w:t xml:space="preserve"> та </w:t>
      </w:r>
      <w:r w:rsidR="00A06ED7" w:rsidRPr="00407BA3">
        <w:rPr>
          <w:color w:val="000000"/>
          <w:sz w:val="28"/>
          <w:szCs w:val="28"/>
        </w:rPr>
        <w:t>ІІ категорії критичності (великі)</w:t>
      </w:r>
      <w:r w:rsidR="00A06ED7" w:rsidRPr="00407BA3">
        <w:rPr>
          <w:sz w:val="28"/>
          <w:szCs w:val="28"/>
        </w:rPr>
        <w:t xml:space="preserve"> </w:t>
      </w:r>
      <w:r w:rsidR="00723232" w:rsidRPr="00407BA3">
        <w:rPr>
          <w:sz w:val="28"/>
          <w:szCs w:val="28"/>
        </w:rPr>
        <w:t xml:space="preserve">– </w:t>
      </w:r>
      <w:r w:rsidR="00A06ED7" w:rsidRPr="00407BA3">
        <w:rPr>
          <w:sz w:val="28"/>
          <w:szCs w:val="28"/>
        </w:rPr>
        <w:t>84</w:t>
      </w:r>
      <w:r w:rsidR="002763CD" w:rsidRPr="00407BA3">
        <w:rPr>
          <w:sz w:val="28"/>
          <w:szCs w:val="28"/>
        </w:rPr>
        <w:t xml:space="preserve">, </w:t>
      </w:r>
      <w:r w:rsidR="00A06ED7" w:rsidRPr="00407BA3">
        <w:rPr>
          <w:color w:val="000000"/>
          <w:sz w:val="28"/>
          <w:szCs w:val="28"/>
        </w:rPr>
        <w:t>ІІІ</w:t>
      </w:r>
      <w:r w:rsidR="00A06ED7" w:rsidRPr="00407BA3">
        <w:rPr>
          <w:sz w:val="28"/>
          <w:szCs w:val="28"/>
        </w:rPr>
        <w:t xml:space="preserve"> </w:t>
      </w:r>
      <w:r w:rsidR="00A06ED7" w:rsidRPr="00407BA3">
        <w:rPr>
          <w:color w:val="000000"/>
          <w:sz w:val="28"/>
          <w:szCs w:val="28"/>
        </w:rPr>
        <w:t>категорії критичності</w:t>
      </w:r>
      <w:r w:rsidR="00A06ED7" w:rsidRPr="00407BA3">
        <w:rPr>
          <w:sz w:val="28"/>
          <w:szCs w:val="28"/>
        </w:rPr>
        <w:t xml:space="preserve"> (</w:t>
      </w:r>
      <w:r w:rsidR="002763CD" w:rsidRPr="00407BA3">
        <w:rPr>
          <w:sz w:val="28"/>
          <w:szCs w:val="28"/>
        </w:rPr>
        <w:t>середні</w:t>
      </w:r>
      <w:r w:rsidR="00A06ED7" w:rsidRPr="00407BA3">
        <w:rPr>
          <w:sz w:val="28"/>
          <w:szCs w:val="28"/>
        </w:rPr>
        <w:t>)</w:t>
      </w:r>
      <w:r w:rsidR="002763CD" w:rsidRPr="00407BA3">
        <w:rPr>
          <w:sz w:val="28"/>
          <w:szCs w:val="28"/>
        </w:rPr>
        <w:t xml:space="preserve"> – </w:t>
      </w:r>
      <w:r w:rsidR="00A06ED7" w:rsidRPr="00407BA3">
        <w:rPr>
          <w:color w:val="000000"/>
          <w:sz w:val="28"/>
          <w:szCs w:val="28"/>
        </w:rPr>
        <w:t>1896</w:t>
      </w:r>
      <w:r w:rsidR="002763CD" w:rsidRPr="00407BA3">
        <w:rPr>
          <w:sz w:val="28"/>
          <w:szCs w:val="28"/>
        </w:rPr>
        <w:t xml:space="preserve">, </w:t>
      </w:r>
      <w:r w:rsidR="00A06ED7" w:rsidRPr="00407BA3">
        <w:rPr>
          <w:color w:val="000000"/>
          <w:sz w:val="28"/>
          <w:szCs w:val="28"/>
        </w:rPr>
        <w:t>ІV категорії критичності</w:t>
      </w:r>
      <w:r w:rsidR="00A06ED7" w:rsidRPr="00407BA3">
        <w:rPr>
          <w:sz w:val="28"/>
          <w:szCs w:val="28"/>
        </w:rPr>
        <w:t xml:space="preserve"> (</w:t>
      </w:r>
      <w:r w:rsidR="002763CD" w:rsidRPr="00407BA3">
        <w:rPr>
          <w:sz w:val="28"/>
          <w:szCs w:val="28"/>
        </w:rPr>
        <w:t>малі</w:t>
      </w:r>
      <w:r w:rsidR="00A06ED7" w:rsidRPr="00407BA3">
        <w:rPr>
          <w:sz w:val="28"/>
          <w:szCs w:val="28"/>
        </w:rPr>
        <w:t>)</w:t>
      </w:r>
      <w:r w:rsidR="002763CD" w:rsidRPr="00407BA3">
        <w:rPr>
          <w:sz w:val="28"/>
          <w:szCs w:val="28"/>
        </w:rPr>
        <w:t xml:space="preserve"> – </w:t>
      </w:r>
      <w:r w:rsidR="00A06ED7" w:rsidRPr="00407BA3">
        <w:rPr>
          <w:color w:val="000000"/>
          <w:sz w:val="28"/>
          <w:szCs w:val="28"/>
        </w:rPr>
        <w:t>3051</w:t>
      </w:r>
      <w:r w:rsidR="002763CD" w:rsidRPr="00407BA3">
        <w:rPr>
          <w:sz w:val="28"/>
          <w:szCs w:val="28"/>
        </w:rPr>
        <w:t xml:space="preserve"> та мікро – </w:t>
      </w:r>
      <w:r w:rsidR="008B0B0C" w:rsidRPr="00407BA3">
        <w:rPr>
          <w:sz w:val="28"/>
          <w:szCs w:val="28"/>
        </w:rPr>
        <w:t>0</w:t>
      </w:r>
      <w:r w:rsidR="002763CD" w:rsidRPr="00407BA3">
        <w:rPr>
          <w:sz w:val="28"/>
          <w:szCs w:val="28"/>
        </w:rPr>
        <w:t>.</w:t>
      </w:r>
    </w:p>
    <w:p w:rsidR="008B0B0C" w:rsidRPr="00407BA3" w:rsidRDefault="00F65792" w:rsidP="007B72DB">
      <w:pPr>
        <w:ind w:firstLine="567"/>
        <w:jc w:val="both"/>
        <w:rPr>
          <w:sz w:val="28"/>
          <w:szCs w:val="28"/>
        </w:rPr>
      </w:pPr>
      <w:r w:rsidRPr="00407BA3">
        <w:rPr>
          <w:sz w:val="28"/>
          <w:szCs w:val="28"/>
        </w:rPr>
        <w:t>Про</w:t>
      </w:r>
      <w:r w:rsidR="00195047" w:rsidRPr="00407BA3">
        <w:rPr>
          <w:sz w:val="28"/>
          <w:szCs w:val="28"/>
        </w:rPr>
        <w:t>є</w:t>
      </w:r>
      <w:r w:rsidRPr="00407BA3">
        <w:rPr>
          <w:sz w:val="28"/>
          <w:szCs w:val="28"/>
        </w:rPr>
        <w:t xml:space="preserve">кт наказу повністю враховує вимоги </w:t>
      </w:r>
      <w:r w:rsidR="008B0B0C" w:rsidRPr="00407BA3">
        <w:rPr>
          <w:sz w:val="28"/>
          <w:szCs w:val="28"/>
        </w:rPr>
        <w:t xml:space="preserve">Закону України «Про </w:t>
      </w:r>
      <w:r w:rsidR="00A06ED7" w:rsidRPr="00407BA3">
        <w:rPr>
          <w:sz w:val="28"/>
          <w:szCs w:val="28"/>
        </w:rPr>
        <w:t>критичну інфраструктуру»</w:t>
      </w:r>
      <w:r w:rsidRPr="00407BA3">
        <w:rPr>
          <w:sz w:val="28"/>
          <w:szCs w:val="28"/>
        </w:rPr>
        <w:t>.</w:t>
      </w:r>
    </w:p>
    <w:p w:rsidR="005E57FB" w:rsidRPr="00407BA3" w:rsidRDefault="00930684" w:rsidP="007B72DB">
      <w:pPr>
        <w:pStyle w:val="rvps2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  <w:lang w:val="uk-UA"/>
        </w:rPr>
      </w:pPr>
      <w:bookmarkStart w:id="41" w:name="n94"/>
      <w:bookmarkEnd w:id="41"/>
      <w:r w:rsidRPr="00407BA3">
        <w:rPr>
          <w:sz w:val="28"/>
          <w:szCs w:val="28"/>
          <w:lang w:val="uk-UA"/>
        </w:rPr>
        <w:t>В</w:t>
      </w:r>
      <w:r w:rsidR="005E57FB" w:rsidRPr="00407BA3">
        <w:rPr>
          <w:sz w:val="28"/>
          <w:szCs w:val="28"/>
          <w:lang w:val="uk-UA"/>
        </w:rPr>
        <w:t>изнач</w:t>
      </w:r>
      <w:r w:rsidRPr="00407BA3">
        <w:rPr>
          <w:sz w:val="28"/>
          <w:szCs w:val="28"/>
          <w:lang w:val="uk-UA"/>
        </w:rPr>
        <w:t>ення основних груп (підгруп</w:t>
      </w:r>
      <w:r w:rsidR="005E57FB" w:rsidRPr="00407BA3">
        <w:rPr>
          <w:sz w:val="28"/>
          <w:szCs w:val="28"/>
          <w:lang w:val="uk-UA"/>
        </w:rPr>
        <w:t>), на які проблема справляє вплив: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7"/>
        <w:gridCol w:w="2819"/>
        <w:gridCol w:w="2432"/>
      </w:tblGrid>
      <w:tr w:rsidR="005E57FB" w:rsidRPr="00407BA3" w:rsidTr="000F3F26">
        <w:tc>
          <w:tcPr>
            <w:tcW w:w="2273" w:type="pct"/>
          </w:tcPr>
          <w:p w:rsidR="005E57FB" w:rsidRPr="00407BA3" w:rsidRDefault="005E57FB" w:rsidP="007B72DB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bookmarkStart w:id="42" w:name="n95"/>
            <w:bookmarkEnd w:id="42"/>
            <w:r w:rsidRPr="00407BA3">
              <w:rPr>
                <w:lang w:val="uk-UA"/>
              </w:rPr>
              <w:t>Групи (підгрупи)</w:t>
            </w:r>
          </w:p>
        </w:tc>
        <w:tc>
          <w:tcPr>
            <w:tcW w:w="1464" w:type="pct"/>
          </w:tcPr>
          <w:p w:rsidR="005E57FB" w:rsidRPr="00407BA3" w:rsidRDefault="005E57FB" w:rsidP="007B72DB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407BA3">
              <w:rPr>
                <w:lang w:val="uk-UA"/>
              </w:rPr>
              <w:t>Так</w:t>
            </w:r>
          </w:p>
        </w:tc>
        <w:tc>
          <w:tcPr>
            <w:tcW w:w="1263" w:type="pct"/>
          </w:tcPr>
          <w:p w:rsidR="005E57FB" w:rsidRPr="00407BA3" w:rsidRDefault="005E57FB" w:rsidP="007B72DB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407BA3">
              <w:rPr>
                <w:lang w:val="uk-UA"/>
              </w:rPr>
              <w:t>Ні</w:t>
            </w:r>
          </w:p>
        </w:tc>
      </w:tr>
      <w:tr w:rsidR="005E57FB" w:rsidRPr="00F91A93" w:rsidTr="000F3F26">
        <w:tc>
          <w:tcPr>
            <w:tcW w:w="2273" w:type="pct"/>
          </w:tcPr>
          <w:p w:rsidR="005E57FB" w:rsidRPr="00F91A93" w:rsidRDefault="005E57FB" w:rsidP="007B72DB">
            <w:pPr>
              <w:pStyle w:val="rvps14"/>
              <w:spacing w:before="0" w:beforeAutospacing="0" w:after="0" w:afterAutospacing="0"/>
              <w:ind w:firstLine="185"/>
              <w:textAlignment w:val="baseline"/>
              <w:rPr>
                <w:lang w:val="uk-UA"/>
              </w:rPr>
            </w:pPr>
            <w:r w:rsidRPr="00F91A93">
              <w:rPr>
                <w:lang w:val="uk-UA"/>
              </w:rPr>
              <w:t>Громадяни</w:t>
            </w:r>
          </w:p>
        </w:tc>
        <w:tc>
          <w:tcPr>
            <w:tcW w:w="1464" w:type="pct"/>
          </w:tcPr>
          <w:p w:rsidR="005E57FB" w:rsidRPr="00F91A93" w:rsidRDefault="00810E71" w:rsidP="007B72DB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F91A93">
              <w:rPr>
                <w:lang w:val="uk-UA"/>
              </w:rPr>
              <w:t>-</w:t>
            </w:r>
          </w:p>
        </w:tc>
        <w:tc>
          <w:tcPr>
            <w:tcW w:w="1263" w:type="pct"/>
          </w:tcPr>
          <w:p w:rsidR="005E57FB" w:rsidRPr="00F91A93" w:rsidRDefault="00C72E09" w:rsidP="007B72DB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F91A93">
              <w:rPr>
                <w:lang w:val="uk-UA"/>
              </w:rPr>
              <w:t>+</w:t>
            </w:r>
          </w:p>
        </w:tc>
      </w:tr>
      <w:tr w:rsidR="005E57FB" w:rsidRPr="00F91A93" w:rsidTr="000F3F26">
        <w:tc>
          <w:tcPr>
            <w:tcW w:w="2273" w:type="pct"/>
          </w:tcPr>
          <w:p w:rsidR="005E57FB" w:rsidRPr="00F91A93" w:rsidRDefault="005E57FB" w:rsidP="007B72DB">
            <w:pPr>
              <w:pStyle w:val="rvps14"/>
              <w:spacing w:before="0" w:beforeAutospacing="0" w:after="0" w:afterAutospacing="0"/>
              <w:ind w:firstLine="185"/>
              <w:textAlignment w:val="baseline"/>
              <w:rPr>
                <w:lang w:val="uk-UA"/>
              </w:rPr>
            </w:pPr>
            <w:r w:rsidRPr="00F91A93">
              <w:rPr>
                <w:lang w:val="uk-UA"/>
              </w:rPr>
              <w:t>Держава</w:t>
            </w:r>
          </w:p>
        </w:tc>
        <w:tc>
          <w:tcPr>
            <w:tcW w:w="1464" w:type="pct"/>
          </w:tcPr>
          <w:p w:rsidR="005E57FB" w:rsidRPr="00F91A93" w:rsidRDefault="00810E71" w:rsidP="007B72DB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F91A93">
              <w:rPr>
                <w:lang w:val="uk-UA"/>
              </w:rPr>
              <w:t>+</w:t>
            </w:r>
          </w:p>
        </w:tc>
        <w:tc>
          <w:tcPr>
            <w:tcW w:w="1263" w:type="pct"/>
          </w:tcPr>
          <w:p w:rsidR="005E57FB" w:rsidRPr="00F91A93" w:rsidRDefault="00810E71" w:rsidP="007B72DB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F91A93">
              <w:rPr>
                <w:lang w:val="uk-UA"/>
              </w:rPr>
              <w:t>-</w:t>
            </w:r>
          </w:p>
        </w:tc>
      </w:tr>
      <w:tr w:rsidR="005E57FB" w:rsidRPr="00F91A93" w:rsidTr="000F3F26">
        <w:tc>
          <w:tcPr>
            <w:tcW w:w="2273" w:type="pct"/>
          </w:tcPr>
          <w:p w:rsidR="005E57FB" w:rsidRPr="00F91A93" w:rsidRDefault="00A06ED7" w:rsidP="007B72DB">
            <w:pPr>
              <w:pStyle w:val="rvps14"/>
              <w:spacing w:before="0" w:beforeAutospacing="0" w:after="0" w:afterAutospacing="0"/>
              <w:ind w:firstLine="185"/>
              <w:textAlignment w:val="baseline"/>
              <w:rPr>
                <w:lang w:val="uk-UA"/>
              </w:rPr>
            </w:pPr>
            <w:r w:rsidRPr="00F91A93">
              <w:rPr>
                <w:lang w:val="uk-UA"/>
              </w:rPr>
              <w:t xml:space="preserve">Оператори критичної </w:t>
            </w:r>
            <w:r w:rsidR="000F3F26" w:rsidRPr="00F91A93">
              <w:rPr>
                <w:lang w:val="uk-UA"/>
              </w:rPr>
              <w:t>інфраструктури</w:t>
            </w:r>
          </w:p>
        </w:tc>
        <w:tc>
          <w:tcPr>
            <w:tcW w:w="1464" w:type="pct"/>
          </w:tcPr>
          <w:p w:rsidR="005E57FB" w:rsidRPr="00F91A93" w:rsidRDefault="00810E71" w:rsidP="007B72DB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F91A93">
              <w:rPr>
                <w:lang w:val="uk-UA"/>
              </w:rPr>
              <w:t>+</w:t>
            </w:r>
          </w:p>
        </w:tc>
        <w:tc>
          <w:tcPr>
            <w:tcW w:w="1263" w:type="pct"/>
          </w:tcPr>
          <w:p w:rsidR="005E57FB" w:rsidRPr="00F91A93" w:rsidRDefault="00810E71" w:rsidP="007B72DB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F91A93">
              <w:rPr>
                <w:lang w:val="uk-UA"/>
              </w:rPr>
              <w:t>-</w:t>
            </w:r>
          </w:p>
        </w:tc>
      </w:tr>
      <w:tr w:rsidR="005E57FB" w:rsidRPr="00F91A93" w:rsidTr="000F3F26">
        <w:tc>
          <w:tcPr>
            <w:tcW w:w="2273" w:type="pct"/>
          </w:tcPr>
          <w:p w:rsidR="005E57FB" w:rsidRPr="00F91A93" w:rsidRDefault="005E57FB" w:rsidP="007B72DB">
            <w:pPr>
              <w:pStyle w:val="rvps14"/>
              <w:spacing w:before="0" w:beforeAutospacing="0" w:after="0" w:afterAutospacing="0"/>
              <w:ind w:left="185"/>
              <w:textAlignment w:val="baseline"/>
              <w:rPr>
                <w:lang w:val="uk-UA"/>
              </w:rPr>
            </w:pPr>
            <w:r w:rsidRPr="00F91A93">
              <w:rPr>
                <w:lang w:val="uk-UA"/>
              </w:rPr>
              <w:t>у тому числі суб’єкти</w:t>
            </w:r>
            <w:r w:rsidR="00735FDB" w:rsidRPr="00F91A93">
              <w:rPr>
                <w:lang w:val="uk-UA"/>
              </w:rPr>
              <w:t xml:space="preserve"> малого</w:t>
            </w:r>
            <w:r w:rsidRPr="00F91A93">
              <w:rPr>
                <w:lang w:val="uk-UA"/>
              </w:rPr>
              <w:t xml:space="preserve"> підприємництва*</w:t>
            </w:r>
          </w:p>
        </w:tc>
        <w:tc>
          <w:tcPr>
            <w:tcW w:w="1464" w:type="pct"/>
          </w:tcPr>
          <w:p w:rsidR="005E57FB" w:rsidRPr="00F91A93" w:rsidRDefault="001E451E" w:rsidP="007B72DB">
            <w:pPr>
              <w:pStyle w:val="rvps14"/>
              <w:spacing w:before="0" w:beforeAutospacing="0" w:after="0" w:afterAutospacing="0"/>
              <w:jc w:val="center"/>
              <w:textAlignment w:val="baseline"/>
              <w:rPr>
                <w:lang w:val="uk-UA"/>
              </w:rPr>
            </w:pPr>
            <w:r w:rsidRPr="00F91A93">
              <w:rPr>
                <w:lang w:val="uk-UA"/>
              </w:rPr>
              <w:t>+</w:t>
            </w:r>
          </w:p>
        </w:tc>
        <w:tc>
          <w:tcPr>
            <w:tcW w:w="1263" w:type="pct"/>
          </w:tcPr>
          <w:p w:rsidR="005E57FB" w:rsidRPr="00F91A93" w:rsidRDefault="005E57FB" w:rsidP="007B72DB">
            <w:pPr>
              <w:pStyle w:val="rvps14"/>
              <w:spacing w:before="0" w:beforeAutospacing="0" w:after="0" w:afterAutospacing="0"/>
              <w:textAlignment w:val="baseline"/>
              <w:rPr>
                <w:lang w:val="uk-UA"/>
              </w:rPr>
            </w:pPr>
          </w:p>
        </w:tc>
      </w:tr>
    </w:tbl>
    <w:p w:rsidR="000F3F26" w:rsidRPr="00F91A93" w:rsidRDefault="000F3F26" w:rsidP="007B72DB">
      <w:pPr>
        <w:ind w:firstLine="567"/>
        <w:jc w:val="both"/>
        <w:rPr>
          <w:sz w:val="28"/>
          <w:szCs w:val="28"/>
        </w:rPr>
      </w:pPr>
      <w:bookmarkStart w:id="43" w:name="n96"/>
      <w:bookmarkStart w:id="44" w:name="n99"/>
      <w:bookmarkEnd w:id="43"/>
      <w:bookmarkEnd w:id="44"/>
      <w:r w:rsidRPr="00F91A93">
        <w:rPr>
          <w:sz w:val="28"/>
          <w:szCs w:val="28"/>
        </w:rPr>
        <w:t>Врегулювання зазначених проблемних питань не може бути здійснено за допомогою чинного законодавства, оскільки нормативно-правовими актами порушені питання не врегульовані.</w:t>
      </w:r>
    </w:p>
    <w:p w:rsidR="003D346C" w:rsidRPr="00F91A93" w:rsidRDefault="003D346C" w:rsidP="007B72DB">
      <w:pPr>
        <w:pStyle w:val="rvps12"/>
        <w:shd w:val="clear" w:color="auto" w:fill="FFFFFF"/>
        <w:spacing w:before="0" w:beforeAutospacing="0" w:after="0" w:afterAutospacing="0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:rsidR="005E57FB" w:rsidRPr="00F91A93" w:rsidRDefault="005E57FB" w:rsidP="003F03A1">
      <w:pPr>
        <w:pStyle w:val="rvps12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lang w:val="uk-UA"/>
        </w:rPr>
      </w:pPr>
      <w:r w:rsidRPr="00F91A93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II. Цілі державного регулювання</w:t>
      </w:r>
    </w:p>
    <w:p w:rsidR="00DB1D5E" w:rsidRPr="00407BA3" w:rsidRDefault="00810E71" w:rsidP="003F03A1">
      <w:pPr>
        <w:ind w:firstLine="567"/>
        <w:jc w:val="both"/>
        <w:rPr>
          <w:sz w:val="28"/>
          <w:szCs w:val="28"/>
        </w:rPr>
      </w:pPr>
      <w:bookmarkStart w:id="45" w:name="n100"/>
      <w:bookmarkEnd w:id="45"/>
      <w:r w:rsidRPr="00F91A93">
        <w:rPr>
          <w:bCs/>
          <w:color w:val="000000"/>
          <w:sz w:val="28"/>
          <w:szCs w:val="28"/>
        </w:rPr>
        <w:t>Цілю</w:t>
      </w:r>
      <w:r w:rsidR="00D07AB7" w:rsidRPr="00F91A93">
        <w:rPr>
          <w:bCs/>
          <w:color w:val="000000"/>
          <w:sz w:val="28"/>
          <w:szCs w:val="28"/>
        </w:rPr>
        <w:t xml:space="preserve"> прийняття </w:t>
      </w:r>
      <w:r w:rsidR="00D07AB7" w:rsidRPr="00F91A93">
        <w:rPr>
          <w:sz w:val="28"/>
          <w:szCs w:val="28"/>
        </w:rPr>
        <w:t xml:space="preserve">проєкту </w:t>
      </w:r>
      <w:r w:rsidR="003F03A1" w:rsidRPr="00F91A93">
        <w:rPr>
          <w:sz w:val="28"/>
          <w:szCs w:val="28"/>
        </w:rPr>
        <w:t>наказу Міністерства розвитку громад та територій України «</w:t>
      </w:r>
      <w:r w:rsidR="00556868" w:rsidRPr="002761B6">
        <w:rPr>
          <w:sz w:val="28"/>
          <w:szCs w:val="28"/>
        </w:rPr>
        <w:t xml:space="preserve">«Про затвердження плану взаємодії функціональних органів у сфері </w:t>
      </w:r>
      <w:r w:rsidR="00556868" w:rsidRPr="002761B6">
        <w:rPr>
          <w:sz w:val="28"/>
          <w:szCs w:val="28"/>
        </w:rPr>
        <w:lastRenderedPageBreak/>
        <w:t>захисту критичної інфраструктури для всіх режимів функціонування критичної інфраструктури</w:t>
      </w:r>
      <w:r w:rsidR="00556868" w:rsidRPr="002761B6">
        <w:rPr>
          <w:sz w:val="28"/>
        </w:rPr>
        <w:t xml:space="preserve"> та плану  взаємодії та підтримання життєво важливих функцій на випадок порушення функціонування об’єктів критичної інфраструктури</w:t>
      </w:r>
      <w:r w:rsidR="00556868" w:rsidRPr="002761B6">
        <w:rPr>
          <w:sz w:val="28"/>
          <w:szCs w:val="28"/>
        </w:rPr>
        <w:t xml:space="preserve">» (далі – проект акта) є організація взаємодії </w:t>
      </w:r>
      <w:r w:rsidR="00556868" w:rsidRPr="001C1BC9">
        <w:rPr>
          <w:sz w:val="28"/>
          <w:szCs w:val="28"/>
        </w:rPr>
        <w:t>між Міністерством розвитку громад та територій України</w:t>
      </w:r>
      <w:r w:rsidR="00556868">
        <w:rPr>
          <w:sz w:val="28"/>
          <w:szCs w:val="28"/>
        </w:rPr>
        <w:t>,</w:t>
      </w:r>
      <w:r w:rsidR="00556868" w:rsidRPr="001C1BC9">
        <w:rPr>
          <w:sz w:val="28"/>
          <w:szCs w:val="28"/>
        </w:rPr>
        <w:t xml:space="preserve"> Міністерство</w:t>
      </w:r>
      <w:r w:rsidR="00556868">
        <w:rPr>
          <w:sz w:val="28"/>
          <w:szCs w:val="28"/>
        </w:rPr>
        <w:t>м</w:t>
      </w:r>
      <w:r w:rsidR="00556868" w:rsidRPr="001C1BC9">
        <w:rPr>
          <w:sz w:val="28"/>
          <w:szCs w:val="28"/>
        </w:rPr>
        <w:t xml:space="preserve"> охорони здоров’я України, Адміністраці</w:t>
      </w:r>
      <w:r w:rsidR="00556868">
        <w:rPr>
          <w:sz w:val="28"/>
          <w:szCs w:val="28"/>
        </w:rPr>
        <w:t>єю</w:t>
      </w:r>
      <w:r w:rsidR="00556868" w:rsidRPr="001C1BC9">
        <w:rPr>
          <w:sz w:val="28"/>
          <w:szCs w:val="28"/>
        </w:rPr>
        <w:t xml:space="preserve"> Державної служби спеціального зв’язку та захисту інформації України, Адміністраці</w:t>
      </w:r>
      <w:r w:rsidR="00556868">
        <w:rPr>
          <w:sz w:val="28"/>
          <w:szCs w:val="28"/>
        </w:rPr>
        <w:t>єю</w:t>
      </w:r>
      <w:r w:rsidR="00556868" w:rsidRPr="001C1BC9">
        <w:rPr>
          <w:sz w:val="28"/>
          <w:szCs w:val="28"/>
        </w:rPr>
        <w:t xml:space="preserve"> Державної прикордонної служби України, Державн</w:t>
      </w:r>
      <w:r w:rsidR="00556868">
        <w:rPr>
          <w:sz w:val="28"/>
          <w:szCs w:val="28"/>
        </w:rPr>
        <w:t>ою службою</w:t>
      </w:r>
      <w:r w:rsidR="00556868" w:rsidRPr="001C1BC9">
        <w:rPr>
          <w:sz w:val="28"/>
          <w:szCs w:val="28"/>
        </w:rPr>
        <w:t xml:space="preserve"> України з надзвичайних ситуацій, Національн</w:t>
      </w:r>
      <w:r w:rsidR="00556868">
        <w:rPr>
          <w:sz w:val="28"/>
          <w:szCs w:val="28"/>
        </w:rPr>
        <w:t>ою</w:t>
      </w:r>
      <w:r w:rsidR="00556868" w:rsidRPr="001C1BC9">
        <w:rPr>
          <w:sz w:val="28"/>
          <w:szCs w:val="28"/>
        </w:rPr>
        <w:t xml:space="preserve"> поліці</w:t>
      </w:r>
      <w:r w:rsidR="00556868">
        <w:rPr>
          <w:sz w:val="28"/>
          <w:szCs w:val="28"/>
        </w:rPr>
        <w:t>єю</w:t>
      </w:r>
      <w:r w:rsidR="00556868" w:rsidRPr="001C1BC9">
        <w:rPr>
          <w:sz w:val="28"/>
          <w:szCs w:val="28"/>
        </w:rPr>
        <w:t xml:space="preserve"> України, Служб</w:t>
      </w:r>
      <w:r w:rsidR="00556868">
        <w:rPr>
          <w:sz w:val="28"/>
          <w:szCs w:val="28"/>
        </w:rPr>
        <w:t>ою</w:t>
      </w:r>
      <w:r w:rsidR="00556868" w:rsidRPr="001C1BC9">
        <w:rPr>
          <w:sz w:val="28"/>
          <w:szCs w:val="28"/>
        </w:rPr>
        <w:t xml:space="preserve"> безпеки України, Національн</w:t>
      </w:r>
      <w:r w:rsidR="00556868">
        <w:rPr>
          <w:sz w:val="28"/>
          <w:szCs w:val="28"/>
        </w:rPr>
        <w:t>ою</w:t>
      </w:r>
      <w:r w:rsidR="00556868" w:rsidRPr="001C1BC9">
        <w:rPr>
          <w:sz w:val="28"/>
          <w:szCs w:val="28"/>
        </w:rPr>
        <w:t xml:space="preserve"> гварді</w:t>
      </w:r>
      <w:r w:rsidR="00556868">
        <w:rPr>
          <w:sz w:val="28"/>
          <w:szCs w:val="28"/>
        </w:rPr>
        <w:t>єю</w:t>
      </w:r>
      <w:r w:rsidR="00556868" w:rsidRPr="001C1BC9">
        <w:rPr>
          <w:sz w:val="28"/>
          <w:szCs w:val="28"/>
        </w:rPr>
        <w:t xml:space="preserve"> України та Збройн</w:t>
      </w:r>
      <w:r w:rsidR="00556868">
        <w:rPr>
          <w:sz w:val="28"/>
          <w:szCs w:val="28"/>
        </w:rPr>
        <w:t>ими</w:t>
      </w:r>
      <w:r w:rsidR="00556868" w:rsidRPr="001C1BC9">
        <w:rPr>
          <w:sz w:val="28"/>
          <w:szCs w:val="28"/>
        </w:rPr>
        <w:t xml:space="preserve"> Сил</w:t>
      </w:r>
      <w:r w:rsidR="00556868">
        <w:rPr>
          <w:sz w:val="28"/>
          <w:szCs w:val="28"/>
        </w:rPr>
        <w:t>ами</w:t>
      </w:r>
      <w:r w:rsidR="00556868" w:rsidRPr="001C1BC9">
        <w:rPr>
          <w:sz w:val="28"/>
          <w:szCs w:val="28"/>
        </w:rPr>
        <w:t xml:space="preserve"> України (далі – функціональні органи), в межах їх функцій та повноважень, визначених Законом </w:t>
      </w:r>
      <w:r w:rsidR="00556868" w:rsidRPr="002761B6">
        <w:rPr>
          <w:sz w:val="28"/>
          <w:szCs w:val="28"/>
        </w:rPr>
        <w:t>для всіх режимів функціонування критичної інфраструктури</w:t>
      </w:r>
      <w:r w:rsidR="00556868">
        <w:rPr>
          <w:sz w:val="28"/>
          <w:szCs w:val="28"/>
        </w:rPr>
        <w:t>, а</w:t>
      </w:r>
      <w:r w:rsidR="00556868" w:rsidRPr="00010CBD">
        <w:rPr>
          <w:sz w:val="28"/>
          <w:szCs w:val="28"/>
        </w:rPr>
        <w:t xml:space="preserve"> </w:t>
      </w:r>
      <w:r w:rsidR="00556868" w:rsidRPr="002761B6">
        <w:rPr>
          <w:sz w:val="28"/>
          <w:szCs w:val="28"/>
        </w:rPr>
        <w:t>та</w:t>
      </w:r>
      <w:r w:rsidR="00556868">
        <w:rPr>
          <w:sz w:val="28"/>
          <w:szCs w:val="28"/>
        </w:rPr>
        <w:t>кож</w:t>
      </w:r>
      <w:r w:rsidR="00556868" w:rsidRPr="002761B6">
        <w:rPr>
          <w:sz w:val="28"/>
          <w:szCs w:val="28"/>
        </w:rPr>
        <w:t xml:space="preserve"> взаємодії та підтримання життєво важливих функцій</w:t>
      </w:r>
      <w:r w:rsidR="00556868" w:rsidRPr="00F574D5">
        <w:rPr>
          <w:sz w:val="28"/>
        </w:rPr>
        <w:t xml:space="preserve"> та/або послуг, порушення яких призводить до негативних наслідків для національної безпеки України</w:t>
      </w:r>
      <w:r w:rsidR="00556868">
        <w:rPr>
          <w:sz w:val="28"/>
          <w:szCs w:val="28"/>
        </w:rPr>
        <w:t>, встановлених частиною четвертою статті 9 Закону (енергозабезпечення (у тому числі постачання теплової енергії), водопостачання та водовідведення,</w:t>
      </w:r>
      <w:r w:rsidR="00556868" w:rsidRPr="0033683F">
        <w:rPr>
          <w:sz w:val="28"/>
          <w:szCs w:val="28"/>
        </w:rPr>
        <w:t xml:space="preserve"> </w:t>
      </w:r>
      <w:r w:rsidR="00556868">
        <w:rPr>
          <w:sz w:val="28"/>
          <w:szCs w:val="28"/>
        </w:rPr>
        <w:t xml:space="preserve">транспортне забезпечення), </w:t>
      </w:r>
      <w:r w:rsidR="00556868" w:rsidRPr="002761B6">
        <w:rPr>
          <w:sz w:val="28"/>
          <w:szCs w:val="28"/>
        </w:rPr>
        <w:t>на випадок порушення функціонування об’єктів критичної інфраструктури у секторах «транспорт і пошта» та «системи життєзабезпечення».</w:t>
      </w:r>
      <w:bookmarkStart w:id="46" w:name="n101"/>
      <w:bookmarkEnd w:id="46"/>
    </w:p>
    <w:p w:rsidR="00EB336E" w:rsidRPr="00407BA3" w:rsidRDefault="00EB336E" w:rsidP="007B72DB">
      <w:pPr>
        <w:ind w:firstLine="900"/>
        <w:jc w:val="both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</w:p>
    <w:p w:rsidR="005E57FB" w:rsidRPr="00407BA3" w:rsidRDefault="005E57FB" w:rsidP="003F03A1">
      <w:pPr>
        <w:pStyle w:val="rvps12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00"/>
          <w:sz w:val="28"/>
          <w:szCs w:val="28"/>
          <w:lang w:val="uk-UA"/>
        </w:rPr>
      </w:pPr>
      <w:r w:rsidRPr="00407BA3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III. Визначення та оцінка альтернативних способів досягнення цілей</w:t>
      </w:r>
    </w:p>
    <w:p w:rsidR="00407BA3" w:rsidRPr="00930E11" w:rsidRDefault="00407BA3" w:rsidP="00407BA3">
      <w:pPr>
        <w:pStyle w:val="af"/>
        <w:numPr>
          <w:ilvl w:val="0"/>
          <w:numId w:val="7"/>
        </w:numPr>
        <w:spacing w:after="120"/>
        <w:jc w:val="both"/>
        <w:rPr>
          <w:sz w:val="28"/>
          <w:szCs w:val="28"/>
        </w:rPr>
      </w:pPr>
      <w:bookmarkStart w:id="47" w:name="n102"/>
      <w:bookmarkEnd w:id="47"/>
      <w:proofErr w:type="spellStart"/>
      <w:r w:rsidRPr="00930E11">
        <w:rPr>
          <w:sz w:val="28"/>
          <w:szCs w:val="28"/>
        </w:rPr>
        <w:t>Визначення</w:t>
      </w:r>
      <w:proofErr w:type="spellEnd"/>
      <w:r w:rsidRPr="00930E11">
        <w:rPr>
          <w:sz w:val="28"/>
          <w:szCs w:val="28"/>
        </w:rPr>
        <w:t xml:space="preserve"> </w:t>
      </w:r>
      <w:proofErr w:type="spellStart"/>
      <w:r w:rsidRPr="00930E11">
        <w:rPr>
          <w:sz w:val="28"/>
          <w:szCs w:val="28"/>
        </w:rPr>
        <w:t>альтернативних</w:t>
      </w:r>
      <w:proofErr w:type="spellEnd"/>
      <w:r w:rsidRPr="00930E11">
        <w:rPr>
          <w:sz w:val="28"/>
          <w:szCs w:val="28"/>
        </w:rPr>
        <w:t xml:space="preserve"> </w:t>
      </w:r>
      <w:proofErr w:type="spellStart"/>
      <w:r w:rsidRPr="00930E11">
        <w:rPr>
          <w:sz w:val="28"/>
          <w:szCs w:val="28"/>
        </w:rPr>
        <w:t>способів</w:t>
      </w:r>
      <w:proofErr w:type="spellEnd"/>
    </w:p>
    <w:p w:rsidR="005E57FB" w:rsidRPr="00F91A93" w:rsidRDefault="004C2BD1" w:rsidP="007B72D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F91A93">
        <w:rPr>
          <w:sz w:val="28"/>
          <w:szCs w:val="28"/>
          <w:lang w:val="uk-UA"/>
        </w:rPr>
        <w:t xml:space="preserve">Альтернативні способи розроблено за результатами обговорення </w:t>
      </w:r>
      <w:r w:rsidR="00E61389" w:rsidRPr="00F91A93">
        <w:rPr>
          <w:sz w:val="28"/>
          <w:szCs w:val="28"/>
          <w:lang w:val="uk-UA"/>
        </w:rPr>
        <w:t>на</w:t>
      </w:r>
      <w:r w:rsidR="00E61389" w:rsidRPr="00F91A93">
        <w:rPr>
          <w:sz w:val="28"/>
          <w:szCs w:val="28"/>
          <w:u w:val="single"/>
          <w:lang w:val="uk-UA"/>
        </w:rPr>
        <w:t xml:space="preserve"> </w:t>
      </w:r>
      <w:r w:rsidRPr="00F91A93">
        <w:rPr>
          <w:sz w:val="28"/>
          <w:szCs w:val="28"/>
          <w:lang w:val="uk-UA"/>
        </w:rPr>
        <w:t>робочих зустрічах представників бізнесу та звернень суб’єктів господарювання</w:t>
      </w:r>
      <w:r w:rsidR="005E57FB" w:rsidRPr="00F91A93">
        <w:rPr>
          <w:color w:val="000000"/>
          <w:sz w:val="28"/>
          <w:szCs w:val="28"/>
          <w:lang w:val="uk-UA"/>
        </w:rPr>
        <w:t>:</w:t>
      </w:r>
    </w:p>
    <w:p w:rsidR="00407BA3" w:rsidRPr="00F91A93" w:rsidRDefault="00407BA3" w:rsidP="00407BA3">
      <w:pPr>
        <w:ind w:left="567"/>
        <w:jc w:val="both"/>
        <w:rPr>
          <w:color w:val="000000"/>
          <w:sz w:val="28"/>
          <w:szCs w:val="28"/>
          <w:lang w:bidi="uk-UA"/>
        </w:rPr>
      </w:pPr>
      <w:r w:rsidRPr="00F91A93">
        <w:rPr>
          <w:i/>
          <w:sz w:val="28"/>
          <w:szCs w:val="28"/>
        </w:rPr>
        <w:t xml:space="preserve">Альтернатива 1 </w:t>
      </w:r>
      <w:r w:rsidRPr="00F91A93">
        <w:rPr>
          <w:color w:val="000000"/>
          <w:sz w:val="28"/>
          <w:szCs w:val="28"/>
          <w:lang w:bidi="uk-UA"/>
        </w:rPr>
        <w:t xml:space="preserve">прийняття </w:t>
      </w:r>
      <w:r w:rsidRPr="00F91A93">
        <w:rPr>
          <w:sz w:val="28"/>
          <w:szCs w:val="28"/>
        </w:rPr>
        <w:t xml:space="preserve">проєкту </w:t>
      </w:r>
      <w:r w:rsidRPr="00F91A93">
        <w:rPr>
          <w:color w:val="000000"/>
          <w:sz w:val="28"/>
          <w:szCs w:val="28"/>
          <w:lang w:bidi="uk-UA"/>
        </w:rPr>
        <w:t xml:space="preserve">акта </w:t>
      </w:r>
    </w:p>
    <w:p w:rsidR="00407BA3" w:rsidRPr="00407BA3" w:rsidRDefault="00407BA3" w:rsidP="00407BA3">
      <w:pPr>
        <w:pStyle w:val="rvps21"/>
        <w:shd w:val="clear" w:color="auto" w:fill="FFFFFF" w:themeFill="background1"/>
        <w:tabs>
          <w:tab w:val="left" w:pos="1134"/>
          <w:tab w:val="left" w:pos="1276"/>
        </w:tabs>
        <w:spacing w:after="0"/>
        <w:ind w:left="567" w:firstLine="0"/>
        <w:rPr>
          <w:color w:val="000000"/>
          <w:sz w:val="28"/>
          <w:szCs w:val="28"/>
          <w:lang w:val="uk-UA" w:bidi="uk-UA"/>
        </w:rPr>
      </w:pPr>
      <w:r w:rsidRPr="00F91A93">
        <w:rPr>
          <w:i/>
          <w:sz w:val="28"/>
          <w:szCs w:val="28"/>
          <w:lang w:val="uk-UA"/>
        </w:rPr>
        <w:t xml:space="preserve">Альтернатива 2 </w:t>
      </w:r>
      <w:r w:rsidRPr="00F91A93">
        <w:rPr>
          <w:rFonts w:eastAsia="Times New Roman"/>
          <w:color w:val="000000"/>
          <w:sz w:val="28"/>
          <w:szCs w:val="28"/>
          <w:lang w:val="uk-UA" w:bidi="uk-UA"/>
        </w:rPr>
        <w:t>залишення існуючої ситуації без змін</w:t>
      </w:r>
    </w:p>
    <w:p w:rsidR="00407BA3" w:rsidRPr="00407BA3" w:rsidRDefault="00407BA3" w:rsidP="007B72D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195047" w:rsidRPr="00407BA3" w:rsidRDefault="00195047" w:rsidP="007B72D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0"/>
        <w:gridCol w:w="6743"/>
      </w:tblGrid>
      <w:tr w:rsidR="005E57FB" w:rsidRPr="00407BA3" w:rsidTr="009476B0">
        <w:trPr>
          <w:jc w:val="center"/>
        </w:trPr>
        <w:tc>
          <w:tcPr>
            <w:tcW w:w="1564" w:type="pct"/>
          </w:tcPr>
          <w:p w:rsidR="005E57FB" w:rsidRPr="00407BA3" w:rsidRDefault="005E57FB" w:rsidP="007B72DB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bookmarkStart w:id="48" w:name="n104"/>
            <w:bookmarkEnd w:id="48"/>
            <w:r w:rsidRPr="00407BA3">
              <w:rPr>
                <w:b/>
                <w:lang w:val="uk-UA"/>
              </w:rPr>
              <w:t>Вид альтернатив</w:t>
            </w:r>
          </w:p>
        </w:tc>
        <w:tc>
          <w:tcPr>
            <w:tcW w:w="3436" w:type="pct"/>
          </w:tcPr>
          <w:p w:rsidR="005E57FB" w:rsidRPr="00407BA3" w:rsidRDefault="005E57FB" w:rsidP="007B72DB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b/>
                <w:lang w:val="uk-UA"/>
              </w:rPr>
            </w:pPr>
            <w:r w:rsidRPr="00407BA3">
              <w:rPr>
                <w:b/>
                <w:lang w:val="uk-UA"/>
              </w:rPr>
              <w:t>Опис альтернативи</w:t>
            </w:r>
          </w:p>
        </w:tc>
      </w:tr>
      <w:tr w:rsidR="005E57FB" w:rsidRPr="00407BA3" w:rsidTr="009476B0">
        <w:trPr>
          <w:jc w:val="center"/>
        </w:trPr>
        <w:tc>
          <w:tcPr>
            <w:tcW w:w="1564" w:type="pct"/>
          </w:tcPr>
          <w:p w:rsidR="005E57FB" w:rsidRDefault="00C72E09" w:rsidP="007B72DB">
            <w:pPr>
              <w:pStyle w:val="rvps14"/>
              <w:spacing w:before="0" w:beforeAutospacing="0" w:after="0" w:afterAutospacing="0"/>
              <w:ind w:left="240"/>
              <w:textAlignment w:val="baseline"/>
              <w:rPr>
                <w:rStyle w:val="FontStyle41"/>
                <w:b w:val="0"/>
                <w:sz w:val="24"/>
                <w:szCs w:val="24"/>
                <w:lang w:val="uk-UA"/>
              </w:rPr>
            </w:pPr>
            <w:r>
              <w:rPr>
                <w:rStyle w:val="FontStyle41"/>
                <w:b w:val="0"/>
                <w:sz w:val="24"/>
                <w:szCs w:val="24"/>
                <w:lang w:val="uk-UA"/>
              </w:rPr>
              <w:t>Альтернатива 1</w:t>
            </w:r>
            <w:r w:rsidR="00A13FC9" w:rsidRPr="00407BA3">
              <w:rPr>
                <w:rStyle w:val="FontStyle41"/>
                <w:b w:val="0"/>
                <w:sz w:val="24"/>
                <w:szCs w:val="24"/>
                <w:lang w:val="uk-UA"/>
              </w:rPr>
              <w:t xml:space="preserve"> </w:t>
            </w:r>
          </w:p>
          <w:p w:rsidR="002C1730" w:rsidRPr="002C1730" w:rsidRDefault="002C1730" w:rsidP="007B72DB">
            <w:pPr>
              <w:pStyle w:val="rvps14"/>
              <w:spacing w:before="0" w:beforeAutospacing="0" w:after="0" w:afterAutospacing="0"/>
              <w:ind w:left="240"/>
              <w:textAlignment w:val="baseline"/>
              <w:rPr>
                <w:b/>
                <w:lang w:val="uk-UA"/>
              </w:rPr>
            </w:pPr>
          </w:p>
        </w:tc>
        <w:tc>
          <w:tcPr>
            <w:tcW w:w="3436" w:type="pct"/>
          </w:tcPr>
          <w:p w:rsidR="005E57FB" w:rsidRPr="00D3290D" w:rsidRDefault="00E245D1" w:rsidP="00DF7497">
            <w:pPr>
              <w:ind w:left="141" w:right="180"/>
              <w:jc w:val="both"/>
            </w:pPr>
            <w:r w:rsidRPr="00D3290D">
              <w:rPr>
                <w:rStyle w:val="FontStyle44"/>
              </w:rPr>
              <w:t xml:space="preserve">Запропонований спосіб вирішення зазначеної проблеми є найбільш доцільним і дасть змогу </w:t>
            </w:r>
            <w:r w:rsidR="00D3290D" w:rsidRPr="00D3290D">
              <w:rPr>
                <w:rStyle w:val="FontStyle44"/>
              </w:rPr>
              <w:t>організувати</w:t>
            </w:r>
            <w:r w:rsidR="00556868" w:rsidRPr="00D3290D">
              <w:t xml:space="preserve"> взаємодію функціональних органів у сфері захисту критичної інфраструктури для всіх режимів функціонування критичної інфраструктури (штатний режим, режим готовності та запобігання реалізації загроз, режим реагування на виникнення кризової ситуації, режим відновлення штатного режиму) у секторах «транспорт і пошта» та «системи життєзабезпечення», в межах їх функцій та повноважень, визначених Законом, а також взаємодію та підтримання життєво важливих функцій на випадок порушення функціонування об’єктів критичної інфраструктури передбачає вжиття основних заходів підтримання життєво важливих функцій у секторах критичної інфраструктури, за які відповідальне Мінрозвитку, що, в свою чергу,</w:t>
            </w:r>
            <w:r w:rsidR="00D3290D" w:rsidRPr="00D3290D">
              <w:t xml:space="preserve"> </w:t>
            </w:r>
            <w:r w:rsidR="00EB336E" w:rsidRPr="00D3290D">
              <w:t>забезпеч</w:t>
            </w:r>
            <w:r w:rsidR="00D3290D" w:rsidRPr="00D3290D">
              <w:t>ить</w:t>
            </w:r>
            <w:r w:rsidR="00EB336E" w:rsidRPr="00D3290D">
              <w:t xml:space="preserve"> </w:t>
            </w:r>
            <w:r w:rsidR="00EB336E" w:rsidRPr="00D3290D">
              <w:lastRenderedPageBreak/>
              <w:t>запобігання кризовим ситуаціям та проявам несанкціонованого втручання в їх функціонування.</w:t>
            </w:r>
          </w:p>
        </w:tc>
      </w:tr>
      <w:tr w:rsidR="0059612E" w:rsidRPr="00407BA3" w:rsidTr="009476B0">
        <w:trPr>
          <w:jc w:val="center"/>
        </w:trPr>
        <w:tc>
          <w:tcPr>
            <w:tcW w:w="1564" w:type="pct"/>
          </w:tcPr>
          <w:p w:rsidR="0059612E" w:rsidRDefault="00C72E09" w:rsidP="007B72DB">
            <w:pPr>
              <w:pStyle w:val="rvps14"/>
              <w:spacing w:before="0" w:beforeAutospacing="0" w:after="0" w:afterAutospacing="0"/>
              <w:ind w:left="185"/>
              <w:textAlignment w:val="baseline"/>
              <w:rPr>
                <w:rStyle w:val="FontStyle41"/>
                <w:b w:val="0"/>
                <w:sz w:val="24"/>
                <w:szCs w:val="24"/>
                <w:lang w:val="uk-UA"/>
              </w:rPr>
            </w:pPr>
            <w:r>
              <w:rPr>
                <w:rStyle w:val="FontStyle41"/>
                <w:b w:val="0"/>
                <w:sz w:val="24"/>
                <w:szCs w:val="24"/>
                <w:lang w:val="uk-UA"/>
              </w:rPr>
              <w:lastRenderedPageBreak/>
              <w:t>Альтернатива 2</w:t>
            </w:r>
            <w:r w:rsidR="0059612E" w:rsidRPr="00407BA3">
              <w:rPr>
                <w:rStyle w:val="FontStyle41"/>
                <w:b w:val="0"/>
                <w:sz w:val="24"/>
                <w:szCs w:val="24"/>
                <w:lang w:val="uk-UA"/>
              </w:rPr>
              <w:t xml:space="preserve"> </w:t>
            </w:r>
          </w:p>
          <w:p w:rsidR="002C1730" w:rsidRPr="002C1730" w:rsidRDefault="002C1730" w:rsidP="002C1730">
            <w:pPr>
              <w:pStyle w:val="rvps14"/>
              <w:spacing w:before="0" w:beforeAutospacing="0" w:after="0" w:afterAutospacing="0"/>
              <w:ind w:left="185"/>
              <w:textAlignment w:val="baseline"/>
              <w:rPr>
                <w:b/>
                <w:lang w:val="uk-UA"/>
              </w:rPr>
            </w:pPr>
          </w:p>
        </w:tc>
        <w:tc>
          <w:tcPr>
            <w:tcW w:w="3436" w:type="pct"/>
          </w:tcPr>
          <w:p w:rsidR="0061017E" w:rsidRPr="00407BA3" w:rsidRDefault="00D3290D" w:rsidP="00D3290D">
            <w:pPr>
              <w:pStyle w:val="HTML"/>
              <w:widowControl w:val="0"/>
              <w:ind w:left="141" w:right="9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Нормативно-правові акти не будуть приведені до вимог законодавства. Відсутність планів взаємодії призведе до розбалансованості системи захисту критичної інфраструктури</w:t>
            </w:r>
            <w:r w:rsidR="00EB336E" w:rsidRPr="00407B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E45A5F" w:rsidRDefault="00E45A5F" w:rsidP="007B72DB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49" w:name="n116"/>
      <w:bookmarkEnd w:id="49"/>
    </w:p>
    <w:p w:rsidR="00C72E09" w:rsidRPr="00930E11" w:rsidRDefault="00C72E09" w:rsidP="00C72E09">
      <w:pPr>
        <w:pStyle w:val="10"/>
        <w:spacing w:after="280"/>
        <w:ind w:firstLine="600"/>
        <w:jc w:val="both"/>
        <w:rPr>
          <w:color w:val="000000"/>
          <w:lang w:bidi="uk-UA"/>
        </w:rPr>
      </w:pPr>
      <w:r w:rsidRPr="00F91A93">
        <w:rPr>
          <w:color w:val="000000"/>
          <w:lang w:bidi="uk-UA"/>
        </w:rPr>
        <w:t>Таким чином, Альтернатива 1 є прийнятним і єдиним способом досягнення зазначених цілей.</w:t>
      </w:r>
    </w:p>
    <w:p w:rsidR="005E57FB" w:rsidRDefault="005E57FB" w:rsidP="007B72DB">
      <w:pPr>
        <w:pStyle w:val="rvps2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07BA3">
        <w:rPr>
          <w:color w:val="000000"/>
          <w:sz w:val="28"/>
          <w:szCs w:val="28"/>
          <w:lang w:val="uk-UA"/>
        </w:rPr>
        <w:t>2. Оцінка вибраних альтернативних способів досягнення цілей</w:t>
      </w:r>
    </w:p>
    <w:p w:rsidR="002C1730" w:rsidRPr="00407BA3" w:rsidRDefault="002C1730" w:rsidP="007B72DB">
      <w:pPr>
        <w:pStyle w:val="rvps2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5E57FB" w:rsidRPr="00407BA3" w:rsidRDefault="005E57FB" w:rsidP="00C72E09">
      <w:pPr>
        <w:pStyle w:val="rvps2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07BA3">
        <w:rPr>
          <w:color w:val="000000"/>
          <w:sz w:val="28"/>
          <w:szCs w:val="28"/>
          <w:lang w:val="uk-UA"/>
        </w:rPr>
        <w:t>Оцінка впливу на сферу інтересів держави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4253"/>
        <w:gridCol w:w="2588"/>
      </w:tblGrid>
      <w:tr w:rsidR="005E57FB" w:rsidRPr="00407BA3" w:rsidTr="00B90AB2">
        <w:tc>
          <w:tcPr>
            <w:tcW w:w="2972" w:type="dxa"/>
          </w:tcPr>
          <w:p w:rsidR="005E57FB" w:rsidRPr="002C1730" w:rsidRDefault="002E1F71" w:rsidP="007B72DB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bookmarkStart w:id="50" w:name="n119"/>
            <w:bookmarkEnd w:id="50"/>
            <w:r w:rsidRPr="002C1730">
              <w:rPr>
                <w:color w:val="000000"/>
                <w:lang w:val="uk-UA"/>
              </w:rPr>
              <w:t>Вид альтернатив</w:t>
            </w:r>
          </w:p>
        </w:tc>
        <w:tc>
          <w:tcPr>
            <w:tcW w:w="4253" w:type="dxa"/>
          </w:tcPr>
          <w:p w:rsidR="005E57FB" w:rsidRPr="002C1730" w:rsidRDefault="005E57FB" w:rsidP="007B72DB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2C1730">
              <w:rPr>
                <w:color w:val="000000"/>
                <w:lang w:val="uk-UA"/>
              </w:rPr>
              <w:t>Вигоди</w:t>
            </w:r>
          </w:p>
        </w:tc>
        <w:tc>
          <w:tcPr>
            <w:tcW w:w="2588" w:type="dxa"/>
          </w:tcPr>
          <w:p w:rsidR="005E57FB" w:rsidRPr="002C1730" w:rsidRDefault="005E57FB" w:rsidP="007B72DB">
            <w:pPr>
              <w:pStyle w:val="rvps12"/>
              <w:spacing w:before="0" w:beforeAutospacing="0" w:after="0" w:afterAutospacing="0"/>
              <w:jc w:val="center"/>
              <w:textAlignment w:val="baseline"/>
              <w:rPr>
                <w:color w:val="000000"/>
                <w:lang w:val="uk-UA"/>
              </w:rPr>
            </w:pPr>
            <w:r w:rsidRPr="002C1730">
              <w:rPr>
                <w:color w:val="000000"/>
                <w:lang w:val="uk-UA"/>
              </w:rPr>
              <w:t>Витрати</w:t>
            </w:r>
          </w:p>
        </w:tc>
      </w:tr>
      <w:tr w:rsidR="00307C3E" w:rsidRPr="00407BA3" w:rsidTr="00B90AB2">
        <w:trPr>
          <w:trHeight w:val="1063"/>
        </w:trPr>
        <w:tc>
          <w:tcPr>
            <w:tcW w:w="2972" w:type="dxa"/>
          </w:tcPr>
          <w:p w:rsidR="00307C3E" w:rsidRPr="00407BA3" w:rsidRDefault="00C72E09" w:rsidP="007B72DB">
            <w:pPr>
              <w:pStyle w:val="rvps14"/>
              <w:spacing w:before="0" w:beforeAutospacing="0" w:after="0" w:afterAutospacing="0"/>
              <w:ind w:left="185"/>
              <w:textAlignment w:val="baseline"/>
              <w:rPr>
                <w:color w:val="000000"/>
                <w:lang w:val="uk-UA"/>
              </w:rPr>
            </w:pPr>
            <w:r>
              <w:rPr>
                <w:rStyle w:val="FontStyle41"/>
                <w:b w:val="0"/>
                <w:sz w:val="24"/>
                <w:szCs w:val="24"/>
                <w:lang w:val="uk-UA"/>
              </w:rPr>
              <w:t>Альтернатива 1</w:t>
            </w:r>
            <w:r w:rsidR="00307C3E" w:rsidRPr="00407BA3">
              <w:rPr>
                <w:rStyle w:val="FontStyle41"/>
                <w:b w:val="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:rsidR="00307C3E" w:rsidRPr="00407BA3" w:rsidRDefault="005D5BEB" w:rsidP="00DF7497">
            <w:pPr>
              <w:ind w:left="141" w:right="180"/>
              <w:jc w:val="both"/>
            </w:pPr>
            <w:r>
              <w:t>Високі, оскільки з</w:t>
            </w:r>
            <w:r w:rsidR="002442D8" w:rsidRPr="00407BA3">
              <w:t xml:space="preserve">апропонований спосіб вирішення зазначеної проблеми є найбільш доцільним і дасть змогу </w:t>
            </w:r>
            <w:r w:rsidR="00D3290D">
              <w:t>функціональним органам у сфері захисту критичної інфраструктури</w:t>
            </w:r>
            <w:r w:rsidR="00EB336E" w:rsidRPr="00407BA3">
              <w:t xml:space="preserve"> </w:t>
            </w:r>
            <w:r w:rsidR="00D3290D" w:rsidRPr="00D3290D">
              <w:rPr>
                <w:rStyle w:val="FontStyle44"/>
              </w:rPr>
              <w:t>організувати</w:t>
            </w:r>
            <w:r w:rsidR="00D3290D" w:rsidRPr="00D3290D">
              <w:t xml:space="preserve"> взаємодію для всіх режимів функціонування критичної інфраструктури (штатний режим, режим готовності та запобігання реалізації загроз, режим реагування на виникнення кризової ситуації, режим відновлення штатного режиму) у секторах «транспорт і пошта» та «системи життєзабезпечення», в межах їх функцій та повноважень, визначених Законом, а також взаємодію та підтримання життєво важливих функцій на випадок порушення функціонування об’єктів критичної інфраструктури у секторах критичної інфраструктури, за які відповідальне Мінрозвитку, що, в свою чергу, забезпечить запобігання кризовим ситуаціям та проявам несанкціонованого втручання в їх функціонування</w:t>
            </w:r>
            <w:r w:rsidR="00EB336E" w:rsidRPr="00407BA3">
              <w:t>.</w:t>
            </w:r>
            <w:r w:rsidR="002442D8" w:rsidRPr="00407BA3">
              <w:t xml:space="preserve"> </w:t>
            </w:r>
          </w:p>
        </w:tc>
        <w:tc>
          <w:tcPr>
            <w:tcW w:w="2588" w:type="dxa"/>
          </w:tcPr>
          <w:p w:rsidR="002B0982" w:rsidRPr="002B0982" w:rsidRDefault="002B0982" w:rsidP="002B0982">
            <w:pPr>
              <w:ind w:left="2" w:firstLine="2"/>
              <w:jc w:val="both"/>
              <w:textAlignment w:val="baseline"/>
            </w:pPr>
            <w:r w:rsidRPr="002B0982">
              <w:t>Додаткові витрати на виконання вимог регуляторного акта з боку виконавчої влади або органів місцевого самоврядування відсутні.</w:t>
            </w:r>
          </w:p>
          <w:p w:rsidR="002B0982" w:rsidRPr="002B0982" w:rsidRDefault="002B0982" w:rsidP="002B0982">
            <w:pPr>
              <w:ind w:left="2" w:firstLine="2"/>
              <w:jc w:val="both"/>
              <w:textAlignment w:val="baseline"/>
            </w:pPr>
            <w:r w:rsidRPr="002B0982">
              <w:t>Державне регулювання не передбачає утворення нового державного органу або нового структурного підрозділу діючого органу.</w:t>
            </w:r>
          </w:p>
          <w:p w:rsidR="002B0982" w:rsidRPr="002B0982" w:rsidRDefault="002B0982" w:rsidP="002B0982">
            <w:pPr>
              <w:shd w:val="clear" w:color="auto" w:fill="FFFFFF"/>
              <w:ind w:left="2" w:firstLine="2"/>
              <w:jc w:val="both"/>
              <w:textAlignment w:val="baseline"/>
            </w:pPr>
            <w:r w:rsidRPr="002B0982">
              <w:t xml:space="preserve">Витрати на виконання вимог регуляторного акта з боку </w:t>
            </w:r>
            <w:r>
              <w:t>функціональних органів у сфері захисту критичної інфраструктури</w:t>
            </w:r>
            <w:r w:rsidRPr="002B0982">
              <w:t xml:space="preserve"> будуть відповідати витратам на</w:t>
            </w:r>
            <w:r w:rsidR="005D5BEB">
              <w:t xml:space="preserve"> заробітну плату співробітників</w:t>
            </w:r>
            <w:r w:rsidRPr="002B0982">
              <w:t>.</w:t>
            </w:r>
          </w:p>
          <w:p w:rsidR="00307C3E" w:rsidRPr="005D5BEB" w:rsidRDefault="00307C3E" w:rsidP="002B0982">
            <w:pPr>
              <w:ind w:left="2" w:right="180" w:firstLine="2"/>
              <w:jc w:val="both"/>
              <w:rPr>
                <w:b/>
              </w:rPr>
            </w:pPr>
          </w:p>
        </w:tc>
      </w:tr>
      <w:tr w:rsidR="00307C3E" w:rsidRPr="00407BA3" w:rsidTr="00B90AB2">
        <w:trPr>
          <w:trHeight w:val="80"/>
        </w:trPr>
        <w:tc>
          <w:tcPr>
            <w:tcW w:w="2972" w:type="dxa"/>
          </w:tcPr>
          <w:p w:rsidR="00307C3E" w:rsidRPr="00407BA3" w:rsidRDefault="00C72E09" w:rsidP="007B72DB">
            <w:pPr>
              <w:pStyle w:val="rvps14"/>
              <w:spacing w:before="0" w:beforeAutospacing="0" w:after="0" w:afterAutospacing="0"/>
              <w:ind w:left="185"/>
              <w:textAlignment w:val="baseline"/>
              <w:rPr>
                <w:lang w:val="uk-UA"/>
              </w:rPr>
            </w:pPr>
            <w:r>
              <w:rPr>
                <w:rStyle w:val="FontStyle41"/>
                <w:b w:val="0"/>
                <w:sz w:val="24"/>
                <w:szCs w:val="24"/>
                <w:lang w:val="uk-UA"/>
              </w:rPr>
              <w:t>Альтернатива 2</w:t>
            </w:r>
          </w:p>
        </w:tc>
        <w:tc>
          <w:tcPr>
            <w:tcW w:w="4253" w:type="dxa"/>
          </w:tcPr>
          <w:p w:rsidR="002B0982" w:rsidRPr="002B0982" w:rsidRDefault="002B0982" w:rsidP="002B0982">
            <w:pPr>
              <w:pStyle w:val="HTML"/>
              <w:widowControl w:val="0"/>
              <w:ind w:left="141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982">
              <w:rPr>
                <w:rStyle w:val="FontStyle44"/>
                <w:lang w:val="uk-UA"/>
              </w:rPr>
              <w:t>В</w:t>
            </w:r>
            <w:r w:rsidR="00E245D1" w:rsidRPr="002B0982">
              <w:rPr>
                <w:rStyle w:val="FontStyle44"/>
                <w:lang w:val="uk-UA"/>
              </w:rPr>
              <w:t>ідсутні</w:t>
            </w:r>
            <w:r w:rsidRPr="002B09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B0982">
              <w:rPr>
                <w:rFonts w:ascii="Times New Roman" w:hAnsi="Times New Roman" w:cs="Times New Roman"/>
                <w:sz w:val="24"/>
                <w:szCs w:val="24"/>
              </w:rPr>
              <w:t>оскільки</w:t>
            </w:r>
            <w:proofErr w:type="spellEnd"/>
            <w:r w:rsidRPr="002B0982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</w:t>
            </w:r>
            <w:proofErr w:type="spellStart"/>
            <w:r w:rsidRPr="002B0982">
              <w:rPr>
                <w:rFonts w:ascii="Times New Roman" w:hAnsi="Times New Roman" w:cs="Times New Roman"/>
                <w:sz w:val="24"/>
                <w:szCs w:val="24"/>
              </w:rPr>
              <w:t>залишається</w:t>
            </w:r>
            <w:proofErr w:type="spellEnd"/>
            <w:r w:rsidRPr="002B0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982">
              <w:rPr>
                <w:rFonts w:ascii="Times New Roman" w:hAnsi="Times New Roman" w:cs="Times New Roman"/>
                <w:sz w:val="24"/>
                <w:szCs w:val="24"/>
              </w:rPr>
              <w:t>невирішеною</w:t>
            </w:r>
            <w:proofErr w:type="spellEnd"/>
            <w:r w:rsidRPr="002B09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0982" w:rsidRPr="002B0982" w:rsidRDefault="002B0982" w:rsidP="002B0982">
            <w:pPr>
              <w:pStyle w:val="HTML"/>
              <w:widowControl w:val="0"/>
              <w:ind w:left="141" w:right="9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2B0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Залишаються нереалізованими положення підпункту «в» </w:t>
            </w:r>
            <w:r w:rsidRPr="002B0982">
              <w:rPr>
                <w:rFonts w:ascii="Times New Roman" w:hAnsi="Times New Roman" w:cs="Times New Roman"/>
                <w:sz w:val="24"/>
                <w:szCs w:val="24"/>
              </w:rPr>
              <w:t xml:space="preserve">пункту 4 </w:t>
            </w:r>
            <w:proofErr w:type="spellStart"/>
            <w:r w:rsidRPr="002B0982">
              <w:rPr>
                <w:rFonts w:ascii="Times New Roman" w:hAnsi="Times New Roman" w:cs="Times New Roman"/>
                <w:sz w:val="24"/>
                <w:szCs w:val="24"/>
              </w:rPr>
              <w:t>частини</w:t>
            </w:r>
            <w:proofErr w:type="spellEnd"/>
            <w:r w:rsidRPr="002B0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982">
              <w:rPr>
                <w:rFonts w:ascii="Times New Roman" w:hAnsi="Times New Roman" w:cs="Times New Roman"/>
                <w:sz w:val="24"/>
                <w:szCs w:val="24"/>
              </w:rPr>
              <w:t>першої</w:t>
            </w:r>
            <w:proofErr w:type="spellEnd"/>
            <w:r w:rsidRPr="002B0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0982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Pr="002B0982"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  <w:r w:rsidRPr="002B0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Закону України «Про критичну інфраструктуру», що в свою чергу унеможливлює процес взаємодії між </w:t>
            </w:r>
            <w:r w:rsidRPr="002B09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функціональними органами у сфері захисту критичної інфраструктури та вжиття відповідних заходів реагування на кризові ситуації</w:t>
            </w:r>
          </w:p>
        </w:tc>
        <w:tc>
          <w:tcPr>
            <w:tcW w:w="2588" w:type="dxa"/>
          </w:tcPr>
          <w:p w:rsidR="00307C3E" w:rsidRPr="00407BA3" w:rsidRDefault="005D5BEB" w:rsidP="005D5BEB">
            <w:pPr>
              <w:pStyle w:val="HTML"/>
              <w:widowControl w:val="0"/>
              <w:ind w:left="141" w:right="9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Відсутні </w:t>
            </w:r>
          </w:p>
        </w:tc>
      </w:tr>
    </w:tbl>
    <w:p w:rsidR="00F26FC1" w:rsidRPr="00407BA3" w:rsidRDefault="00F26FC1" w:rsidP="007B72DB">
      <w:pPr>
        <w:pStyle w:val="rvps2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1" w:name="n130"/>
      <w:bookmarkEnd w:id="51"/>
    </w:p>
    <w:p w:rsidR="00C72E09" w:rsidRPr="00407BA3" w:rsidRDefault="005E57FB" w:rsidP="00C72E09">
      <w:pPr>
        <w:pStyle w:val="rvps2"/>
        <w:shd w:val="clear" w:color="auto" w:fill="FFFFFF"/>
        <w:spacing w:before="0" w:beforeAutospacing="0" w:after="120" w:afterAutospacing="0"/>
        <w:ind w:firstLine="902"/>
        <w:jc w:val="center"/>
        <w:textAlignment w:val="baseline"/>
        <w:rPr>
          <w:color w:val="000000"/>
          <w:sz w:val="28"/>
          <w:szCs w:val="28"/>
          <w:lang w:val="uk-UA"/>
        </w:rPr>
      </w:pPr>
      <w:r w:rsidRPr="00407BA3">
        <w:rPr>
          <w:color w:val="000000"/>
          <w:sz w:val="28"/>
          <w:szCs w:val="28"/>
          <w:lang w:val="uk-UA"/>
        </w:rPr>
        <w:t>Оцінка впливу на сферу інтересів громадян</w:t>
      </w:r>
    </w:p>
    <w:p w:rsidR="00F91A93" w:rsidRPr="00930E11" w:rsidRDefault="00F91A93" w:rsidP="00F91A93">
      <w:pPr>
        <w:spacing w:after="120"/>
        <w:ind w:firstLine="708"/>
        <w:jc w:val="both"/>
        <w:rPr>
          <w:sz w:val="28"/>
          <w:szCs w:val="28"/>
        </w:rPr>
      </w:pPr>
      <w:bookmarkStart w:id="52" w:name="n131"/>
      <w:bookmarkStart w:id="53" w:name="n141"/>
      <w:bookmarkEnd w:id="52"/>
      <w:bookmarkEnd w:id="53"/>
      <w:r w:rsidRPr="00930E11">
        <w:rPr>
          <w:sz w:val="28"/>
          <w:szCs w:val="28"/>
        </w:rPr>
        <w:t>Оцінка впливу на сферу інтересів громадян</w:t>
      </w:r>
    </w:p>
    <w:tbl>
      <w:tblPr>
        <w:tblStyle w:val="afb"/>
        <w:tblW w:w="9781" w:type="dxa"/>
        <w:tblInd w:w="-5" w:type="dxa"/>
        <w:tblLook w:val="04A0" w:firstRow="1" w:lastRow="0" w:firstColumn="1" w:lastColumn="0" w:noHBand="0" w:noVBand="1"/>
      </w:tblPr>
      <w:tblGrid>
        <w:gridCol w:w="2977"/>
        <w:gridCol w:w="4253"/>
        <w:gridCol w:w="2551"/>
      </w:tblGrid>
      <w:tr w:rsidR="00F91A93" w:rsidRPr="003668CE" w:rsidTr="00F91A93">
        <w:tc>
          <w:tcPr>
            <w:tcW w:w="2977" w:type="dxa"/>
          </w:tcPr>
          <w:p w:rsidR="00F91A93" w:rsidRPr="003668CE" w:rsidRDefault="00F91A93" w:rsidP="0077088F">
            <w:pPr>
              <w:pBdr>
                <w:between w:val="single" w:sz="4" w:space="1" w:color="auto"/>
              </w:pBd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3668CE">
              <w:rPr>
                <w:rFonts w:ascii="Times New Roman" w:hAnsi="Times New Roman" w:cs="Times New Roman"/>
              </w:rPr>
              <w:t>Вид альтернативи</w:t>
            </w:r>
          </w:p>
        </w:tc>
        <w:tc>
          <w:tcPr>
            <w:tcW w:w="4253" w:type="dxa"/>
          </w:tcPr>
          <w:p w:rsidR="00F91A93" w:rsidRPr="003668CE" w:rsidRDefault="00F91A93" w:rsidP="0077088F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3668CE">
              <w:rPr>
                <w:rFonts w:ascii="Times New Roman" w:hAnsi="Times New Roman" w:cs="Times New Roman"/>
              </w:rPr>
              <w:t>Вигоди</w:t>
            </w:r>
          </w:p>
        </w:tc>
        <w:tc>
          <w:tcPr>
            <w:tcW w:w="2551" w:type="dxa"/>
          </w:tcPr>
          <w:p w:rsidR="00F91A93" w:rsidRPr="003668CE" w:rsidRDefault="00F91A93" w:rsidP="0077088F">
            <w:pPr>
              <w:pBdr>
                <w:between w:val="single" w:sz="4" w:space="1" w:color="auto"/>
              </w:pBdr>
              <w:jc w:val="center"/>
              <w:rPr>
                <w:rFonts w:ascii="Times New Roman" w:hAnsi="Times New Roman" w:cs="Times New Roman"/>
              </w:rPr>
            </w:pPr>
            <w:r w:rsidRPr="003668CE">
              <w:rPr>
                <w:rFonts w:ascii="Times New Roman" w:hAnsi="Times New Roman" w:cs="Times New Roman"/>
              </w:rPr>
              <w:t>Витрати</w:t>
            </w:r>
          </w:p>
        </w:tc>
      </w:tr>
      <w:tr w:rsidR="00F91A93" w:rsidRPr="003668CE" w:rsidTr="00F91A93">
        <w:tc>
          <w:tcPr>
            <w:tcW w:w="2977" w:type="dxa"/>
          </w:tcPr>
          <w:p w:rsidR="00F91A93" w:rsidRPr="003668CE" w:rsidRDefault="00F91A93" w:rsidP="0077088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668CE">
              <w:rPr>
                <w:rFonts w:ascii="Times New Roman" w:hAnsi="Times New Roman" w:cs="Times New Roman"/>
                <w:i/>
              </w:rPr>
              <w:t>Альтернатива 1</w:t>
            </w:r>
          </w:p>
          <w:p w:rsidR="00F91A93" w:rsidRPr="003668CE" w:rsidRDefault="003668CE" w:rsidP="0077088F">
            <w:pPr>
              <w:jc w:val="both"/>
              <w:rPr>
                <w:rFonts w:ascii="Times New Roman" w:hAnsi="Times New Roman" w:cs="Times New Roman"/>
              </w:rPr>
            </w:pPr>
            <w:r w:rsidRPr="003668CE">
              <w:rPr>
                <w:rFonts w:ascii="Times New Roman" w:hAnsi="Times New Roman" w:cs="Times New Roman"/>
                <w:color w:val="000000"/>
                <w:lang w:bidi="uk-UA"/>
              </w:rPr>
              <w:t>Прийняття проєкту акта</w:t>
            </w:r>
          </w:p>
        </w:tc>
        <w:tc>
          <w:tcPr>
            <w:tcW w:w="4253" w:type="dxa"/>
            <w:shd w:val="clear" w:color="auto" w:fill="auto"/>
          </w:tcPr>
          <w:p w:rsidR="00F91A93" w:rsidRPr="003668CE" w:rsidRDefault="003668CE" w:rsidP="0077088F">
            <w:pPr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68CE">
              <w:rPr>
                <w:rFonts w:ascii="Times New Roman" w:eastAsiaTheme="minorHAnsi" w:hAnsi="Times New Roman" w:cs="Times New Roman"/>
                <w:lang w:eastAsia="en-US"/>
              </w:rPr>
              <w:t>Високі</w:t>
            </w:r>
            <w:r w:rsidRPr="003668C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F91A93" w:rsidRPr="003668CE" w:rsidRDefault="003668CE" w:rsidP="005D5BEB">
            <w:pPr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68CE">
              <w:rPr>
                <w:rStyle w:val="FontStyle44"/>
              </w:rPr>
              <w:t xml:space="preserve">Дає змогу </w:t>
            </w:r>
            <w:r w:rsidRPr="003668CE">
              <w:rPr>
                <w:rFonts w:ascii="Times New Roman" w:hAnsi="Times New Roman" w:cs="Times New Roman"/>
              </w:rPr>
              <w:t xml:space="preserve">забезпечити безпеку об’єктів критичної інфраструктури, </w:t>
            </w:r>
            <w:r w:rsidR="00B73C49">
              <w:rPr>
                <w:rFonts w:ascii="Times New Roman" w:hAnsi="Times New Roman" w:cs="Times New Roman"/>
              </w:rPr>
              <w:t xml:space="preserve">на яких працюють громадяни, </w:t>
            </w:r>
            <w:r w:rsidRPr="003668CE">
              <w:rPr>
                <w:rFonts w:ascii="Times New Roman" w:hAnsi="Times New Roman" w:cs="Times New Roman"/>
              </w:rPr>
              <w:t>їх прогнозування, запобігання кризовим ситуаціям та проявам несанкціонованого втручання в їх функціонування</w:t>
            </w:r>
            <w:r w:rsidR="00B73C49">
              <w:rPr>
                <w:rFonts w:ascii="Times New Roman" w:hAnsi="Times New Roman" w:cs="Times New Roman"/>
              </w:rPr>
              <w:t>, що, у свою чергу, забезпечує безперервність надання відповідних послуг населенню</w:t>
            </w:r>
          </w:p>
        </w:tc>
        <w:tc>
          <w:tcPr>
            <w:tcW w:w="2551" w:type="dxa"/>
            <w:shd w:val="clear" w:color="auto" w:fill="auto"/>
          </w:tcPr>
          <w:p w:rsidR="00F91A93" w:rsidRPr="003668CE" w:rsidRDefault="00F91A93" w:rsidP="0077088F">
            <w:pPr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68CE">
              <w:rPr>
                <w:rFonts w:ascii="Times New Roman" w:eastAsia="Calibri" w:hAnsi="Times New Roman" w:cs="Times New Roman"/>
                <w:lang w:eastAsia="en-US"/>
              </w:rPr>
              <w:t>Відсутні</w:t>
            </w:r>
          </w:p>
        </w:tc>
      </w:tr>
      <w:tr w:rsidR="00F91A93" w:rsidRPr="003668CE" w:rsidTr="00F91A93">
        <w:tc>
          <w:tcPr>
            <w:tcW w:w="2977" w:type="dxa"/>
          </w:tcPr>
          <w:p w:rsidR="00F91A93" w:rsidRPr="003668CE" w:rsidRDefault="00F91A93" w:rsidP="0077088F">
            <w:pPr>
              <w:pStyle w:val="rvps21"/>
              <w:shd w:val="clear" w:color="auto" w:fill="FFFFFF" w:themeFill="background1"/>
              <w:tabs>
                <w:tab w:val="left" w:pos="1134"/>
                <w:tab w:val="left" w:pos="1276"/>
              </w:tabs>
              <w:spacing w:after="0"/>
              <w:ind w:firstLine="0"/>
              <w:rPr>
                <w:rFonts w:ascii="Times New Roman" w:hAnsi="Times New Roman" w:cs="Times New Roman"/>
                <w:i/>
                <w:lang w:val="uk-UA"/>
              </w:rPr>
            </w:pPr>
            <w:r w:rsidRPr="003668CE">
              <w:rPr>
                <w:rFonts w:ascii="Times New Roman" w:hAnsi="Times New Roman" w:cs="Times New Roman"/>
                <w:i/>
                <w:lang w:val="uk-UA"/>
              </w:rPr>
              <w:t>Альтернатива 2</w:t>
            </w:r>
          </w:p>
          <w:p w:rsidR="00F91A93" w:rsidRPr="003668CE" w:rsidRDefault="003668CE" w:rsidP="0077088F">
            <w:pPr>
              <w:rPr>
                <w:rFonts w:ascii="Times New Roman" w:hAnsi="Times New Roman" w:cs="Times New Roman"/>
              </w:rPr>
            </w:pPr>
            <w:r w:rsidRPr="003668CE">
              <w:rPr>
                <w:rFonts w:ascii="Times New Roman" w:hAnsi="Times New Roman" w:cs="Times New Roman"/>
                <w:color w:val="000000"/>
                <w:lang w:bidi="uk-UA"/>
              </w:rPr>
              <w:t>Збереження ситуації, яка існує на цей час</w:t>
            </w:r>
          </w:p>
        </w:tc>
        <w:tc>
          <w:tcPr>
            <w:tcW w:w="4253" w:type="dxa"/>
            <w:shd w:val="clear" w:color="auto" w:fill="auto"/>
          </w:tcPr>
          <w:p w:rsidR="00F91A93" w:rsidRPr="003668CE" w:rsidRDefault="003668CE" w:rsidP="0077088F">
            <w:pPr>
              <w:pStyle w:val="rvps21"/>
              <w:shd w:val="clear" w:color="auto" w:fill="FFFFFF" w:themeFill="background1"/>
              <w:tabs>
                <w:tab w:val="left" w:pos="1134"/>
                <w:tab w:val="left" w:pos="1276"/>
              </w:tabs>
              <w:spacing w:after="0"/>
              <w:ind w:firstLine="0"/>
              <w:rPr>
                <w:rFonts w:ascii="Times New Roman" w:eastAsiaTheme="minorHAnsi" w:hAnsi="Times New Roman" w:cs="Times New Roman"/>
                <w:lang w:val="uk-UA" w:eastAsia="en-US"/>
              </w:rPr>
            </w:pPr>
            <w:proofErr w:type="spellStart"/>
            <w:r w:rsidRPr="003668CE">
              <w:rPr>
                <w:rFonts w:ascii="Times New Roman" w:eastAsia="Calibri" w:hAnsi="Times New Roman" w:cs="Times New Roman"/>
                <w:lang w:eastAsia="en-US"/>
              </w:rPr>
              <w:t>Відсутні</w:t>
            </w:r>
            <w:proofErr w:type="spellEnd"/>
          </w:p>
          <w:p w:rsidR="00F91A93" w:rsidRPr="003668CE" w:rsidRDefault="003668CE" w:rsidP="003668CE">
            <w:pPr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68CE">
              <w:rPr>
                <w:rFonts w:ascii="Times New Roman" w:eastAsia="Calibri" w:hAnsi="Times New Roman" w:cs="Times New Roman"/>
                <w:lang w:eastAsia="en-US"/>
              </w:rPr>
              <w:t>Альтернатива є неприйнятною, оскільки не відповідає вимогам чинного законодавства</w:t>
            </w:r>
          </w:p>
        </w:tc>
        <w:tc>
          <w:tcPr>
            <w:tcW w:w="2551" w:type="dxa"/>
            <w:shd w:val="clear" w:color="auto" w:fill="auto"/>
          </w:tcPr>
          <w:p w:rsidR="00F91A93" w:rsidRPr="003668CE" w:rsidRDefault="00F91A93" w:rsidP="0077088F">
            <w:pPr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3668CE">
              <w:rPr>
                <w:rFonts w:ascii="Times New Roman" w:eastAsia="Calibri" w:hAnsi="Times New Roman" w:cs="Times New Roman"/>
                <w:lang w:eastAsia="en-US"/>
              </w:rPr>
              <w:t>Відсутні</w:t>
            </w:r>
          </w:p>
        </w:tc>
      </w:tr>
    </w:tbl>
    <w:p w:rsidR="007E7A63" w:rsidRPr="00407BA3" w:rsidRDefault="007E7A63" w:rsidP="007B72DB">
      <w:pPr>
        <w:jc w:val="both"/>
        <w:textAlignment w:val="baseline"/>
        <w:rPr>
          <w:b/>
          <w:sz w:val="28"/>
          <w:szCs w:val="28"/>
        </w:rPr>
      </w:pPr>
    </w:p>
    <w:p w:rsidR="00D126CA" w:rsidRPr="00407BA3" w:rsidRDefault="00D126CA" w:rsidP="00C72E09">
      <w:pPr>
        <w:spacing w:after="120"/>
        <w:ind w:firstLine="902"/>
        <w:jc w:val="center"/>
        <w:textAlignment w:val="baseline"/>
        <w:rPr>
          <w:sz w:val="28"/>
          <w:szCs w:val="28"/>
        </w:rPr>
      </w:pPr>
      <w:r w:rsidRPr="00407BA3">
        <w:rPr>
          <w:sz w:val="28"/>
          <w:szCs w:val="28"/>
        </w:rPr>
        <w:t>Оцінка впливу на сферу інтересів суб’єктів господарювання.</w:t>
      </w:r>
    </w:p>
    <w:p w:rsidR="00D126CA" w:rsidRPr="00407BA3" w:rsidRDefault="00411172" w:rsidP="00F01202">
      <w:pPr>
        <w:ind w:firstLine="708"/>
        <w:jc w:val="both"/>
        <w:textAlignment w:val="baseline"/>
        <w:rPr>
          <w:sz w:val="28"/>
          <w:szCs w:val="28"/>
        </w:rPr>
      </w:pPr>
      <w:r w:rsidRPr="00407BA3">
        <w:rPr>
          <w:sz w:val="28"/>
          <w:szCs w:val="28"/>
        </w:rPr>
        <w:t xml:space="preserve">За звітними та статистичними даними під дію </w:t>
      </w:r>
      <w:r w:rsidR="00A8470C" w:rsidRPr="00407BA3">
        <w:rPr>
          <w:sz w:val="28"/>
          <w:szCs w:val="28"/>
        </w:rPr>
        <w:t>про</w:t>
      </w:r>
      <w:r w:rsidR="00195047" w:rsidRPr="00407BA3">
        <w:rPr>
          <w:sz w:val="28"/>
          <w:szCs w:val="28"/>
        </w:rPr>
        <w:t>є</w:t>
      </w:r>
      <w:r w:rsidR="00A8470C" w:rsidRPr="00407BA3">
        <w:rPr>
          <w:sz w:val="28"/>
          <w:szCs w:val="28"/>
        </w:rPr>
        <w:t xml:space="preserve">кту </w:t>
      </w:r>
      <w:r w:rsidR="00BA62E6" w:rsidRPr="00407BA3">
        <w:rPr>
          <w:sz w:val="28"/>
          <w:szCs w:val="28"/>
        </w:rPr>
        <w:t>акта</w:t>
      </w:r>
      <w:r w:rsidRPr="00407BA3">
        <w:rPr>
          <w:sz w:val="28"/>
          <w:szCs w:val="28"/>
        </w:rPr>
        <w:t xml:space="preserve"> підпадають:</w:t>
      </w:r>
    </w:p>
    <w:p w:rsidR="00411172" w:rsidRPr="00407BA3" w:rsidRDefault="00411172" w:rsidP="007B72DB">
      <w:pPr>
        <w:ind w:firstLine="900"/>
        <w:jc w:val="both"/>
        <w:textAlignment w:val="baseline"/>
        <w:rPr>
          <w:sz w:val="28"/>
          <w:szCs w:val="28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8"/>
        <w:gridCol w:w="1101"/>
        <w:gridCol w:w="1259"/>
        <w:gridCol w:w="1530"/>
        <w:gridCol w:w="1479"/>
        <w:gridCol w:w="1275"/>
      </w:tblGrid>
      <w:tr w:rsidR="00D126CA" w:rsidRPr="00407BA3" w:rsidTr="00C108C8">
        <w:tc>
          <w:tcPr>
            <w:tcW w:w="1608" w:type="pct"/>
          </w:tcPr>
          <w:p w:rsidR="00D126CA" w:rsidRPr="00C72E09" w:rsidRDefault="00D126CA" w:rsidP="007B72DB">
            <w:pPr>
              <w:jc w:val="center"/>
              <w:textAlignment w:val="baseline"/>
            </w:pPr>
            <w:bookmarkStart w:id="54" w:name="n75"/>
            <w:bookmarkEnd w:id="54"/>
            <w:r w:rsidRPr="00C72E09">
              <w:t>Показник</w:t>
            </w:r>
          </w:p>
        </w:tc>
        <w:tc>
          <w:tcPr>
            <w:tcW w:w="562" w:type="pct"/>
          </w:tcPr>
          <w:p w:rsidR="00D126CA" w:rsidRPr="00C72E09" w:rsidRDefault="00D126CA" w:rsidP="007B72DB">
            <w:pPr>
              <w:jc w:val="center"/>
              <w:textAlignment w:val="baseline"/>
            </w:pPr>
            <w:r w:rsidRPr="00C72E09">
              <w:t>Великі</w:t>
            </w:r>
          </w:p>
        </w:tc>
        <w:tc>
          <w:tcPr>
            <w:tcW w:w="643" w:type="pct"/>
          </w:tcPr>
          <w:p w:rsidR="00D126CA" w:rsidRPr="00C72E09" w:rsidRDefault="00D126CA" w:rsidP="007B72DB">
            <w:pPr>
              <w:jc w:val="center"/>
              <w:textAlignment w:val="baseline"/>
            </w:pPr>
            <w:r w:rsidRPr="00C72E09">
              <w:t>Середні</w:t>
            </w:r>
          </w:p>
        </w:tc>
        <w:tc>
          <w:tcPr>
            <w:tcW w:w="781" w:type="pct"/>
          </w:tcPr>
          <w:p w:rsidR="00D126CA" w:rsidRPr="00C72E09" w:rsidRDefault="00D126CA" w:rsidP="007B72DB">
            <w:pPr>
              <w:jc w:val="center"/>
              <w:textAlignment w:val="baseline"/>
            </w:pPr>
            <w:r w:rsidRPr="00C72E09">
              <w:t>Малі</w:t>
            </w:r>
          </w:p>
        </w:tc>
        <w:tc>
          <w:tcPr>
            <w:tcW w:w="755" w:type="pct"/>
          </w:tcPr>
          <w:p w:rsidR="00D126CA" w:rsidRPr="00C72E09" w:rsidRDefault="00D126CA" w:rsidP="007B72DB">
            <w:pPr>
              <w:jc w:val="center"/>
              <w:textAlignment w:val="baseline"/>
            </w:pPr>
            <w:r w:rsidRPr="00C72E09">
              <w:t>Мікро</w:t>
            </w:r>
          </w:p>
        </w:tc>
        <w:tc>
          <w:tcPr>
            <w:tcW w:w="651" w:type="pct"/>
          </w:tcPr>
          <w:p w:rsidR="00D126CA" w:rsidRPr="00C72E09" w:rsidRDefault="00D126CA" w:rsidP="007B72DB">
            <w:pPr>
              <w:jc w:val="center"/>
              <w:textAlignment w:val="baseline"/>
            </w:pPr>
            <w:r w:rsidRPr="00C72E09">
              <w:t>Разом</w:t>
            </w:r>
          </w:p>
        </w:tc>
      </w:tr>
      <w:tr w:rsidR="00D126CA" w:rsidRPr="00407BA3" w:rsidTr="00C108C8">
        <w:tc>
          <w:tcPr>
            <w:tcW w:w="1608" w:type="pct"/>
          </w:tcPr>
          <w:p w:rsidR="00D126CA" w:rsidRPr="00407BA3" w:rsidRDefault="00D126CA" w:rsidP="007B72DB">
            <w:pPr>
              <w:ind w:left="185"/>
              <w:textAlignment w:val="baseline"/>
            </w:pPr>
            <w:r w:rsidRPr="00407BA3">
              <w:t xml:space="preserve">Кількість </w:t>
            </w:r>
            <w:r w:rsidR="00A150B6" w:rsidRPr="00407BA3">
              <w:t>об’єктів критичної інфраструктури</w:t>
            </w:r>
            <w:r w:rsidRPr="00407BA3">
              <w:t>, що підпадають під дію регулювання, одиниць</w:t>
            </w:r>
          </w:p>
        </w:tc>
        <w:tc>
          <w:tcPr>
            <w:tcW w:w="562" w:type="pct"/>
          </w:tcPr>
          <w:p w:rsidR="00102E09" w:rsidRPr="00407BA3" w:rsidRDefault="00102E09" w:rsidP="007B72DB">
            <w:pPr>
              <w:jc w:val="center"/>
              <w:textAlignment w:val="baseline"/>
            </w:pPr>
          </w:p>
          <w:p w:rsidR="00D126CA" w:rsidRPr="00407BA3" w:rsidRDefault="00977B45" w:rsidP="007B72DB">
            <w:pPr>
              <w:jc w:val="center"/>
              <w:textAlignment w:val="baseline"/>
            </w:pPr>
            <w:r w:rsidRPr="00407BA3">
              <w:t>84</w:t>
            </w:r>
          </w:p>
          <w:p w:rsidR="000F0F24" w:rsidRPr="00407BA3" w:rsidRDefault="000F0F24" w:rsidP="007B72DB">
            <w:pPr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643" w:type="pct"/>
          </w:tcPr>
          <w:p w:rsidR="00102E09" w:rsidRPr="00407BA3" w:rsidRDefault="00102E09" w:rsidP="007B72DB">
            <w:pPr>
              <w:jc w:val="center"/>
              <w:textAlignment w:val="baseline"/>
            </w:pPr>
          </w:p>
          <w:p w:rsidR="000F0F24" w:rsidRPr="00407BA3" w:rsidRDefault="00977B45" w:rsidP="007B72DB">
            <w:pPr>
              <w:jc w:val="center"/>
              <w:textAlignment w:val="baseline"/>
              <w:rPr>
                <w:color w:val="FF0000"/>
              </w:rPr>
            </w:pPr>
            <w:r w:rsidRPr="00407BA3">
              <w:rPr>
                <w:color w:val="000000"/>
              </w:rPr>
              <w:t>1896</w:t>
            </w:r>
          </w:p>
        </w:tc>
        <w:tc>
          <w:tcPr>
            <w:tcW w:w="781" w:type="pct"/>
          </w:tcPr>
          <w:p w:rsidR="00102E09" w:rsidRPr="00407BA3" w:rsidRDefault="00102E09" w:rsidP="007B72DB">
            <w:pPr>
              <w:jc w:val="center"/>
              <w:textAlignment w:val="baseline"/>
            </w:pPr>
          </w:p>
          <w:p w:rsidR="000F0F24" w:rsidRPr="00407BA3" w:rsidRDefault="00977B45" w:rsidP="007B72DB">
            <w:pPr>
              <w:jc w:val="center"/>
              <w:textAlignment w:val="baseline"/>
              <w:rPr>
                <w:color w:val="FF0000"/>
              </w:rPr>
            </w:pPr>
            <w:r w:rsidRPr="00407BA3">
              <w:rPr>
                <w:color w:val="000000"/>
              </w:rPr>
              <w:t>3051</w:t>
            </w:r>
          </w:p>
        </w:tc>
        <w:tc>
          <w:tcPr>
            <w:tcW w:w="755" w:type="pct"/>
          </w:tcPr>
          <w:p w:rsidR="00102E09" w:rsidRPr="00407BA3" w:rsidRDefault="00102E09" w:rsidP="007B72DB">
            <w:pPr>
              <w:jc w:val="center"/>
              <w:textAlignment w:val="baseline"/>
            </w:pPr>
          </w:p>
          <w:p w:rsidR="00D126CA" w:rsidRPr="00407BA3" w:rsidRDefault="009C782B" w:rsidP="007B72DB">
            <w:pPr>
              <w:jc w:val="center"/>
              <w:textAlignment w:val="baseline"/>
            </w:pPr>
            <w:r w:rsidRPr="00407BA3">
              <w:t>0</w:t>
            </w:r>
          </w:p>
        </w:tc>
        <w:tc>
          <w:tcPr>
            <w:tcW w:w="651" w:type="pct"/>
          </w:tcPr>
          <w:p w:rsidR="00102E09" w:rsidRPr="00407BA3" w:rsidRDefault="00102E09" w:rsidP="007B72DB">
            <w:pPr>
              <w:jc w:val="center"/>
              <w:textAlignment w:val="baseline"/>
            </w:pPr>
          </w:p>
          <w:p w:rsidR="000F0F24" w:rsidRPr="00407BA3" w:rsidRDefault="00977B45" w:rsidP="007B72DB">
            <w:pPr>
              <w:jc w:val="center"/>
              <w:textAlignment w:val="baseline"/>
              <w:rPr>
                <w:color w:val="FF0000"/>
              </w:rPr>
            </w:pPr>
            <w:r w:rsidRPr="00407BA3">
              <w:t>5031</w:t>
            </w:r>
          </w:p>
        </w:tc>
      </w:tr>
      <w:tr w:rsidR="00D126CA" w:rsidRPr="00407BA3" w:rsidTr="00C108C8">
        <w:tc>
          <w:tcPr>
            <w:tcW w:w="1608" w:type="pct"/>
          </w:tcPr>
          <w:p w:rsidR="00D126CA" w:rsidRPr="00407BA3" w:rsidRDefault="00D126CA" w:rsidP="007B72DB">
            <w:pPr>
              <w:ind w:left="185"/>
              <w:textAlignment w:val="baseline"/>
            </w:pPr>
            <w:r w:rsidRPr="00407BA3">
              <w:t>Питома вага групи у загальній кількості, відсотків</w:t>
            </w:r>
          </w:p>
          <w:p w:rsidR="00D126CA" w:rsidRPr="00407BA3" w:rsidRDefault="00D126CA" w:rsidP="007B72DB">
            <w:pPr>
              <w:ind w:left="185"/>
              <w:textAlignment w:val="baseline"/>
            </w:pPr>
          </w:p>
        </w:tc>
        <w:tc>
          <w:tcPr>
            <w:tcW w:w="562" w:type="pct"/>
          </w:tcPr>
          <w:p w:rsidR="00102E09" w:rsidRPr="00407BA3" w:rsidRDefault="00102E09" w:rsidP="007B72DB">
            <w:pPr>
              <w:jc w:val="center"/>
              <w:textAlignment w:val="baseline"/>
            </w:pPr>
          </w:p>
          <w:p w:rsidR="00D126CA" w:rsidRPr="00407BA3" w:rsidRDefault="001427A3" w:rsidP="007B72DB">
            <w:pPr>
              <w:jc w:val="center"/>
              <w:textAlignment w:val="baseline"/>
            </w:pPr>
            <w:r w:rsidRPr="00407BA3">
              <w:t>1.7</w:t>
            </w:r>
            <w:r w:rsidR="00C108C8" w:rsidRPr="00407BA3">
              <w:t xml:space="preserve"> % </w:t>
            </w:r>
          </w:p>
          <w:p w:rsidR="000F0F24" w:rsidRPr="00407BA3" w:rsidRDefault="000F0F24" w:rsidP="007B72DB">
            <w:pPr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643" w:type="pct"/>
          </w:tcPr>
          <w:p w:rsidR="00102E09" w:rsidRPr="00407BA3" w:rsidRDefault="00102E09" w:rsidP="007B72DB">
            <w:pPr>
              <w:jc w:val="center"/>
              <w:textAlignment w:val="baseline"/>
            </w:pPr>
          </w:p>
          <w:p w:rsidR="00D126CA" w:rsidRPr="00407BA3" w:rsidRDefault="001427A3" w:rsidP="007B72DB">
            <w:pPr>
              <w:jc w:val="center"/>
              <w:textAlignment w:val="baseline"/>
            </w:pPr>
            <w:r w:rsidRPr="00407BA3">
              <w:t>37.7</w:t>
            </w:r>
            <w:r w:rsidR="00C108C8" w:rsidRPr="00407BA3">
              <w:t xml:space="preserve"> %</w:t>
            </w:r>
          </w:p>
          <w:p w:rsidR="00102E09" w:rsidRPr="00407BA3" w:rsidRDefault="00102E09" w:rsidP="007B72DB">
            <w:pPr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781" w:type="pct"/>
          </w:tcPr>
          <w:p w:rsidR="00102E09" w:rsidRPr="00407BA3" w:rsidRDefault="00102E09" w:rsidP="007B72DB">
            <w:pPr>
              <w:jc w:val="center"/>
              <w:textAlignment w:val="baseline"/>
            </w:pPr>
          </w:p>
          <w:p w:rsidR="00D126CA" w:rsidRPr="00407BA3" w:rsidRDefault="001427A3" w:rsidP="007B72DB">
            <w:pPr>
              <w:jc w:val="center"/>
              <w:textAlignment w:val="baseline"/>
            </w:pPr>
            <w:r w:rsidRPr="00407BA3">
              <w:t>60.6</w:t>
            </w:r>
            <w:r w:rsidR="00C108C8" w:rsidRPr="00407BA3">
              <w:t xml:space="preserve"> %</w:t>
            </w:r>
          </w:p>
          <w:p w:rsidR="000F0F24" w:rsidRPr="00407BA3" w:rsidRDefault="000F0F24" w:rsidP="007B72DB">
            <w:pPr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755" w:type="pct"/>
          </w:tcPr>
          <w:p w:rsidR="00102E09" w:rsidRPr="00407BA3" w:rsidRDefault="00102E09" w:rsidP="007B72DB">
            <w:pPr>
              <w:jc w:val="center"/>
              <w:textAlignment w:val="baseline"/>
            </w:pPr>
          </w:p>
          <w:p w:rsidR="00D126CA" w:rsidRPr="00407BA3" w:rsidRDefault="009C782B" w:rsidP="007B72DB">
            <w:pPr>
              <w:jc w:val="center"/>
              <w:textAlignment w:val="baseline"/>
            </w:pPr>
            <w:r w:rsidRPr="00407BA3">
              <w:t xml:space="preserve">0 </w:t>
            </w:r>
            <w:r w:rsidR="00C108C8" w:rsidRPr="00407BA3">
              <w:t>%</w:t>
            </w:r>
          </w:p>
        </w:tc>
        <w:tc>
          <w:tcPr>
            <w:tcW w:w="651" w:type="pct"/>
          </w:tcPr>
          <w:p w:rsidR="00102E09" w:rsidRPr="00407BA3" w:rsidRDefault="00102E09" w:rsidP="007B72DB">
            <w:pPr>
              <w:jc w:val="center"/>
              <w:textAlignment w:val="baseline"/>
            </w:pPr>
          </w:p>
          <w:p w:rsidR="00D126CA" w:rsidRPr="00407BA3" w:rsidRDefault="00D126CA" w:rsidP="007B72DB">
            <w:pPr>
              <w:jc w:val="center"/>
              <w:textAlignment w:val="baseline"/>
            </w:pPr>
            <w:r w:rsidRPr="00407BA3">
              <w:t>100</w:t>
            </w:r>
            <w:r w:rsidR="00C108C8" w:rsidRPr="00407BA3">
              <w:t xml:space="preserve"> %</w:t>
            </w:r>
          </w:p>
        </w:tc>
      </w:tr>
    </w:tbl>
    <w:p w:rsidR="005E57FB" w:rsidRPr="00407BA3" w:rsidRDefault="005E57FB" w:rsidP="007B72DB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55" w:name="n143"/>
      <w:bookmarkStart w:id="56" w:name="n144"/>
      <w:bookmarkStart w:id="57" w:name="n145"/>
      <w:bookmarkStart w:id="58" w:name="n146"/>
      <w:bookmarkStart w:id="59" w:name="n147"/>
      <w:bookmarkStart w:id="60" w:name="n148"/>
      <w:bookmarkStart w:id="61" w:name="n149"/>
      <w:bookmarkEnd w:id="55"/>
      <w:bookmarkEnd w:id="56"/>
      <w:bookmarkEnd w:id="57"/>
      <w:bookmarkEnd w:id="58"/>
      <w:bookmarkEnd w:id="59"/>
      <w:bookmarkEnd w:id="60"/>
      <w:bookmarkEnd w:id="61"/>
    </w:p>
    <w:tbl>
      <w:tblPr>
        <w:tblW w:w="49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4021"/>
        <w:gridCol w:w="2716"/>
      </w:tblGrid>
      <w:tr w:rsidR="0017406E" w:rsidRPr="00407BA3"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6E" w:rsidRPr="00C72E09" w:rsidRDefault="0017406E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center"/>
              <w:rPr>
                <w:rStyle w:val="FontStyle41"/>
                <w:b w:val="0"/>
                <w:sz w:val="24"/>
                <w:szCs w:val="24"/>
              </w:rPr>
            </w:pPr>
            <w:r w:rsidRPr="00C72E09">
              <w:rPr>
                <w:rStyle w:val="FontStyle41"/>
                <w:b w:val="0"/>
                <w:sz w:val="24"/>
                <w:szCs w:val="24"/>
              </w:rPr>
              <w:t>Вид альтернатив</w:t>
            </w: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6E" w:rsidRPr="00C72E09" w:rsidRDefault="0017406E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center"/>
              <w:rPr>
                <w:rStyle w:val="FontStyle44"/>
              </w:rPr>
            </w:pPr>
            <w:r w:rsidRPr="00C72E09">
              <w:rPr>
                <w:rStyle w:val="FontStyle44"/>
              </w:rPr>
              <w:t>Вигоди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6E" w:rsidRPr="00C72E09" w:rsidRDefault="0017406E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center"/>
              <w:rPr>
                <w:rStyle w:val="FontStyle44"/>
              </w:rPr>
            </w:pPr>
            <w:r w:rsidRPr="00C72E09">
              <w:rPr>
                <w:rStyle w:val="FontStyle44"/>
              </w:rPr>
              <w:t>Витрати</w:t>
            </w:r>
          </w:p>
        </w:tc>
      </w:tr>
      <w:tr w:rsidR="00A816A6" w:rsidRPr="00407BA3"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A6" w:rsidRPr="00407BA3" w:rsidRDefault="00A816A6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left="180" w:firstLine="0"/>
              <w:jc w:val="both"/>
              <w:rPr>
                <w:rStyle w:val="FontStyle41"/>
                <w:b w:val="0"/>
                <w:sz w:val="24"/>
                <w:szCs w:val="24"/>
              </w:rPr>
            </w:pPr>
            <w:r w:rsidRPr="00407BA3">
              <w:rPr>
                <w:rStyle w:val="FontStyle41"/>
                <w:b w:val="0"/>
                <w:sz w:val="24"/>
                <w:szCs w:val="24"/>
              </w:rPr>
              <w:t xml:space="preserve">Альтернатива 1 </w:t>
            </w:r>
          </w:p>
          <w:p w:rsidR="00A816A6" w:rsidRPr="00407BA3" w:rsidRDefault="00A816A6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left="180" w:firstLine="0"/>
              <w:jc w:val="both"/>
              <w:rPr>
                <w:rStyle w:val="FontStyle41"/>
                <w:b w:val="0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9A" w:rsidRPr="00407BA3" w:rsidRDefault="007E7A63" w:rsidP="00F77D82">
            <w:pPr>
              <w:ind w:right="180"/>
              <w:jc w:val="both"/>
            </w:pPr>
            <w:r w:rsidRPr="00407BA3">
              <w:rPr>
                <w:rStyle w:val="FontStyle44"/>
              </w:rPr>
              <w:t xml:space="preserve">Запропонований спосіб вирішення зазначеної проблеми є найбільш доцільним і дасть змогу </w:t>
            </w:r>
            <w:r w:rsidR="005D5BEB">
              <w:rPr>
                <w:rStyle w:val="FontStyle44"/>
              </w:rPr>
              <w:t>здійснювати взаємодію між</w:t>
            </w:r>
            <w:r w:rsidR="006A34F1">
              <w:rPr>
                <w:rStyle w:val="FontStyle44"/>
              </w:rPr>
              <w:t xml:space="preserve"> функціональними органами у сфері захисту критичної інфраструктури</w:t>
            </w:r>
            <w:r w:rsidR="005D5BEB">
              <w:rPr>
                <w:rStyle w:val="FontStyle44"/>
              </w:rPr>
              <w:t xml:space="preserve"> </w:t>
            </w:r>
            <w:r w:rsidR="005D5BEB" w:rsidRPr="00D3290D">
              <w:t xml:space="preserve">для всіх режимів функціонування критичної інфраструктури (штатний режим, режим готовності </w:t>
            </w:r>
            <w:r w:rsidR="005D5BEB" w:rsidRPr="00D3290D">
              <w:lastRenderedPageBreak/>
              <w:t>та запобігання реалізації загроз, режим реагування на виникнення кризової ситуації, режим відновлення штатного режиму) у секторах «транспорт і пошта» та «системи життєзабезпечення», в межах їх функцій та повноважень, визначених Законом, а також взаємодію та підтримання життєво важливих функцій на випадок порушення функціонування об’єктів критичної інфраструктури у секторах критичної інфраструктури, за які відповідальне Мінрозвитку, що, в свою чергу, забезпечить запобігання кризовим ситуаціям та проявам несанкціонованого втручання в їх функціонування</w:t>
            </w:r>
            <w:r w:rsidR="005D5BEB" w:rsidRPr="00407BA3">
              <w:t xml:space="preserve">. </w:t>
            </w:r>
            <w:r w:rsidRPr="00407BA3">
              <w:rPr>
                <w:rStyle w:val="FontStyle44"/>
              </w:rPr>
              <w:t xml:space="preserve"> 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DB" w:rsidRPr="00407BA3" w:rsidRDefault="00B70426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both"/>
              <w:rPr>
                <w:rStyle w:val="FontStyle41"/>
                <w:b w:val="0"/>
                <w:bCs w:val="0"/>
                <w:sz w:val="24"/>
                <w:szCs w:val="24"/>
              </w:rPr>
            </w:pPr>
            <w:r w:rsidRPr="00407BA3">
              <w:rPr>
                <w:rStyle w:val="FontStyle41"/>
                <w:b w:val="0"/>
                <w:bCs w:val="0"/>
                <w:sz w:val="24"/>
                <w:szCs w:val="24"/>
              </w:rPr>
              <w:lastRenderedPageBreak/>
              <w:t>В</w:t>
            </w:r>
            <w:r w:rsidRPr="00407BA3">
              <w:rPr>
                <w:rStyle w:val="FontStyle41"/>
                <w:b w:val="0"/>
                <w:sz w:val="24"/>
                <w:szCs w:val="24"/>
              </w:rPr>
              <w:t xml:space="preserve">ідсутні </w:t>
            </w:r>
          </w:p>
        </w:tc>
      </w:tr>
      <w:tr w:rsidR="00A816A6" w:rsidRPr="00407BA3"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A6" w:rsidRPr="00407BA3" w:rsidRDefault="00A816A6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left="185" w:firstLine="0"/>
              <w:jc w:val="both"/>
              <w:rPr>
                <w:rStyle w:val="FontStyle41"/>
                <w:b w:val="0"/>
                <w:sz w:val="24"/>
                <w:szCs w:val="24"/>
              </w:rPr>
            </w:pPr>
            <w:r w:rsidRPr="00407BA3">
              <w:rPr>
                <w:rStyle w:val="FontStyle41"/>
                <w:b w:val="0"/>
                <w:sz w:val="24"/>
                <w:szCs w:val="24"/>
              </w:rPr>
              <w:t xml:space="preserve">Альтернатива 2 </w:t>
            </w:r>
          </w:p>
          <w:p w:rsidR="00A816A6" w:rsidRPr="00407BA3" w:rsidRDefault="00A816A6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left="185" w:firstLine="0"/>
              <w:jc w:val="both"/>
              <w:rPr>
                <w:rStyle w:val="FontStyle41"/>
                <w:b w:val="0"/>
                <w:sz w:val="24"/>
                <w:szCs w:val="24"/>
              </w:rPr>
            </w:pPr>
          </w:p>
        </w:tc>
        <w:tc>
          <w:tcPr>
            <w:tcW w:w="2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A6" w:rsidRPr="00407BA3" w:rsidRDefault="00C72E09" w:rsidP="00C72E09">
            <w:pPr>
              <w:ind w:right="180"/>
              <w:jc w:val="both"/>
            </w:pPr>
            <w:r w:rsidRPr="00C72E09">
              <w:t>Такий спосіб є неприйнятним, оскільки</w:t>
            </w:r>
            <w:r w:rsidRPr="00407BA3">
              <w:t xml:space="preserve"> </w:t>
            </w:r>
            <w:r w:rsidRPr="00C72E09">
              <w:t xml:space="preserve">він не </w:t>
            </w:r>
            <w:r w:rsidRPr="00407BA3">
              <w:t>забезпечує безпеку об’єктів критичної інфраструктури, їх прогнозування, запобігання кризовим ситуаціям та проявам несанкціонованого втручання в їх функціонування</w:t>
            </w:r>
            <w:r w:rsidRPr="00C72E09">
              <w:rPr>
                <w:bCs/>
              </w:rPr>
              <w:t>.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39A" w:rsidRPr="00407BA3" w:rsidRDefault="00C72E09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rPr>
                <w:rStyle w:val="FontStyle41"/>
                <w:b w:val="0"/>
                <w:color w:val="FF0000"/>
                <w:sz w:val="24"/>
                <w:szCs w:val="24"/>
              </w:rPr>
            </w:pPr>
            <w:r w:rsidRPr="003668CE">
              <w:rPr>
                <w:rStyle w:val="FontStyle41"/>
                <w:b w:val="0"/>
                <w:sz w:val="24"/>
                <w:szCs w:val="24"/>
              </w:rPr>
              <w:t>Відсутні</w:t>
            </w:r>
          </w:p>
        </w:tc>
      </w:tr>
    </w:tbl>
    <w:p w:rsidR="00F26FC1" w:rsidRPr="00407BA3" w:rsidRDefault="00F26FC1" w:rsidP="007B72DB">
      <w:pPr>
        <w:tabs>
          <w:tab w:val="left" w:pos="7091"/>
        </w:tabs>
        <w:ind w:firstLine="851"/>
        <w:jc w:val="both"/>
        <w:rPr>
          <w:rStyle w:val="rvts15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962EA" w:rsidRPr="00407BA3" w:rsidRDefault="000962EA" w:rsidP="007B72DB">
      <w:pPr>
        <w:tabs>
          <w:tab w:val="left" w:pos="7091"/>
        </w:tabs>
        <w:ind w:firstLine="567"/>
        <w:jc w:val="both"/>
        <w:rPr>
          <w:rStyle w:val="rvts15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07BA3">
        <w:rPr>
          <w:rStyle w:val="rvts15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Витрати на одного </w:t>
      </w:r>
      <w:r w:rsidR="00A150B6" w:rsidRPr="00407BA3">
        <w:rPr>
          <w:rStyle w:val="rvts15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оператора критичної інфраструктури,</w:t>
      </w:r>
      <w:r w:rsidRPr="00407BA3">
        <w:rPr>
          <w:rStyle w:val="rvts15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які виникають внаслідок дії регуляторного акта</w:t>
      </w:r>
      <w:r w:rsidR="0053512C" w:rsidRPr="00407BA3">
        <w:rPr>
          <w:rStyle w:val="rvts15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A1154" w:rsidRPr="00CE6880" w:rsidRDefault="00BA1154" w:rsidP="007B72DB">
      <w:pPr>
        <w:tabs>
          <w:tab w:val="left" w:pos="7091"/>
        </w:tabs>
        <w:ind w:firstLine="567"/>
        <w:jc w:val="both"/>
        <w:rPr>
          <w:rStyle w:val="rvts15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E6880">
        <w:rPr>
          <w:rStyle w:val="rvts15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0C0BB7" w:rsidRPr="00CE6880">
        <w:rPr>
          <w:rStyle w:val="rvts15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итрати </w:t>
      </w:r>
      <w:r w:rsidR="0075357D" w:rsidRPr="00CE6880">
        <w:rPr>
          <w:rStyle w:val="rvts15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на</w:t>
      </w:r>
      <w:r w:rsidR="00620CA6" w:rsidRPr="00CE6880">
        <w:rPr>
          <w:rStyle w:val="rvts15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E6880" w:rsidRPr="00CE6880">
        <w:rPr>
          <w:bCs/>
          <w:color w:val="333333"/>
          <w:sz w:val="28"/>
          <w:szCs w:val="28"/>
          <w:shd w:val="clear" w:color="auto" w:fill="FFFFFF"/>
        </w:rPr>
        <w:t>одного суб’єкта господарювання великого і середнього підприємництва, які виникають внаслідок дії регуляторного акта</w:t>
      </w:r>
      <w:r w:rsidR="00CE6880" w:rsidRPr="00CE6880">
        <w:rPr>
          <w:bCs/>
          <w:color w:val="333333"/>
          <w:sz w:val="28"/>
          <w:szCs w:val="28"/>
          <w:shd w:val="clear" w:color="auto" w:fill="FFFFFF"/>
        </w:rPr>
        <w:t>, відсутні, тому розрахунки відповідно до додатка 2 не проводилися.</w:t>
      </w:r>
    </w:p>
    <w:p w:rsidR="000C0BB7" w:rsidRPr="00407BA3" w:rsidRDefault="000C0BB7" w:rsidP="007B72DB">
      <w:pPr>
        <w:tabs>
          <w:tab w:val="left" w:pos="7091"/>
        </w:tabs>
        <w:ind w:firstLine="567"/>
        <w:jc w:val="both"/>
        <w:rPr>
          <w:rStyle w:val="rvts15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07BA3">
        <w:rPr>
          <w:rStyle w:val="rvts15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М-тест не проводився відповідно до додатк</w:t>
      </w:r>
      <w:r w:rsidR="0075357D" w:rsidRPr="00407BA3">
        <w:rPr>
          <w:rStyle w:val="rvts15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Pr="00407BA3">
        <w:rPr>
          <w:rStyle w:val="rvts15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4.</w:t>
      </w:r>
    </w:p>
    <w:p w:rsidR="00956017" w:rsidRPr="00407BA3" w:rsidRDefault="00956017" w:rsidP="007B72DB">
      <w:pPr>
        <w:tabs>
          <w:tab w:val="left" w:pos="7091"/>
        </w:tabs>
        <w:ind w:firstLine="567"/>
        <w:jc w:val="both"/>
        <w:rPr>
          <w:rStyle w:val="rvts15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E57FB" w:rsidRPr="00407BA3" w:rsidRDefault="005E57FB" w:rsidP="00ED116C">
      <w:pPr>
        <w:pStyle w:val="rvps1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407BA3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IV. Вибір найбільш оптимального альтернативного способу досягнення цілей</w:t>
      </w:r>
    </w:p>
    <w:p w:rsidR="00F26FC1" w:rsidRPr="00407BA3" w:rsidRDefault="008578A5" w:rsidP="007B72DB">
      <w:pPr>
        <w:ind w:firstLine="567"/>
        <w:jc w:val="both"/>
        <w:rPr>
          <w:sz w:val="28"/>
          <w:szCs w:val="28"/>
        </w:rPr>
      </w:pPr>
      <w:r w:rsidRPr="00407BA3">
        <w:rPr>
          <w:sz w:val="28"/>
          <w:szCs w:val="28"/>
        </w:rPr>
        <w:t>Здійснити вибір оптимального альтернативного способу з урахуванням системи бальної оцінки ступеня досягнення визначених цілей.</w:t>
      </w:r>
    </w:p>
    <w:p w:rsidR="008578A5" w:rsidRPr="00407BA3" w:rsidRDefault="008578A5" w:rsidP="007B72DB">
      <w:pPr>
        <w:ind w:firstLine="567"/>
        <w:jc w:val="both"/>
        <w:rPr>
          <w:sz w:val="28"/>
          <w:szCs w:val="28"/>
        </w:rPr>
      </w:pPr>
      <w:r w:rsidRPr="00407BA3">
        <w:rPr>
          <w:sz w:val="28"/>
          <w:szCs w:val="28"/>
        </w:rPr>
        <w:t>Вартість балів визначається за чотирибальною системою оцінки ступеня досягнення визначених цілей, де:</w:t>
      </w:r>
    </w:p>
    <w:p w:rsidR="008578A5" w:rsidRPr="00407BA3" w:rsidRDefault="008578A5" w:rsidP="007B72DB">
      <w:pPr>
        <w:ind w:firstLine="567"/>
        <w:jc w:val="both"/>
        <w:rPr>
          <w:sz w:val="28"/>
          <w:szCs w:val="28"/>
        </w:rPr>
      </w:pPr>
      <w:r w:rsidRPr="00407BA3">
        <w:rPr>
          <w:sz w:val="28"/>
          <w:szCs w:val="28"/>
        </w:rPr>
        <w:t>4 – цілі прийняття регуляторного акта, які можуть бути досягнуті повною мірою (проблема більше не існуватиме);</w:t>
      </w:r>
    </w:p>
    <w:p w:rsidR="008578A5" w:rsidRPr="00407BA3" w:rsidRDefault="008578A5" w:rsidP="007B72DB">
      <w:pPr>
        <w:ind w:firstLine="567"/>
        <w:jc w:val="both"/>
        <w:rPr>
          <w:sz w:val="28"/>
          <w:szCs w:val="28"/>
        </w:rPr>
      </w:pPr>
      <w:r w:rsidRPr="00407BA3">
        <w:rPr>
          <w:sz w:val="28"/>
          <w:szCs w:val="28"/>
        </w:rPr>
        <w:t>3 – цілі прийняття регуляторного акта, які можуть бути досягнуті майже повною мірою (усі важливі аспекти проблеми не існуватимуть);</w:t>
      </w:r>
    </w:p>
    <w:p w:rsidR="008578A5" w:rsidRPr="00407BA3" w:rsidRDefault="008578A5" w:rsidP="007B72DB">
      <w:pPr>
        <w:ind w:firstLine="567"/>
        <w:jc w:val="both"/>
        <w:rPr>
          <w:sz w:val="28"/>
          <w:szCs w:val="28"/>
        </w:rPr>
      </w:pPr>
      <w:r w:rsidRPr="00407BA3">
        <w:rPr>
          <w:sz w:val="28"/>
          <w:szCs w:val="28"/>
        </w:rPr>
        <w:lastRenderedPageBreak/>
        <w:t>2 – цілі прийняття регуляторного акта, які можуть бути досягнуті частково (проблема значно зменшиться, деякі важливі та критичні аспекти проблеми залишаться нерозв’язаними);</w:t>
      </w:r>
    </w:p>
    <w:p w:rsidR="00843958" w:rsidRPr="00407BA3" w:rsidRDefault="008578A5" w:rsidP="007B72DB">
      <w:pPr>
        <w:pStyle w:val="rvps1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uk-UA"/>
        </w:rPr>
      </w:pPr>
      <w:r w:rsidRPr="00407BA3">
        <w:rPr>
          <w:sz w:val="28"/>
          <w:szCs w:val="28"/>
          <w:lang w:val="uk-UA"/>
        </w:rPr>
        <w:t>1 – цілі прийняття регуляторного акта, які не можуть бути досягнуті (проблема продовжує існувати).</w:t>
      </w:r>
    </w:p>
    <w:p w:rsidR="00B70432" w:rsidRPr="00407BA3" w:rsidRDefault="00B70432" w:rsidP="007B72DB">
      <w:pPr>
        <w:pStyle w:val="rvps12"/>
        <w:shd w:val="clear" w:color="auto" w:fill="FFFFFF"/>
        <w:spacing w:before="0" w:beforeAutospacing="0" w:after="0" w:afterAutospacing="0"/>
        <w:ind w:firstLine="900"/>
        <w:jc w:val="both"/>
        <w:textAlignment w:val="baseline"/>
        <w:rPr>
          <w:sz w:val="28"/>
          <w:szCs w:val="28"/>
          <w:lang w:val="uk-UA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3064"/>
        <w:gridCol w:w="3714"/>
      </w:tblGrid>
      <w:tr w:rsidR="008578A5" w:rsidRPr="00407BA3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A5" w:rsidRPr="00407BA3" w:rsidRDefault="008578A5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center"/>
              <w:rPr>
                <w:rStyle w:val="FontStyle41"/>
                <w:b w:val="0"/>
                <w:sz w:val="24"/>
                <w:szCs w:val="24"/>
              </w:rPr>
            </w:pPr>
            <w:r w:rsidRPr="00407BA3">
              <w:rPr>
                <w:rStyle w:val="FontStyle41"/>
                <w:b w:val="0"/>
                <w:sz w:val="24"/>
                <w:szCs w:val="24"/>
              </w:rPr>
              <w:t>Рейтинг результативності (досягнення цілей під час розв’язання  проблеми)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A5" w:rsidRPr="00407BA3" w:rsidRDefault="008578A5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center"/>
              <w:rPr>
                <w:rStyle w:val="FontStyle44"/>
              </w:rPr>
            </w:pPr>
            <w:r w:rsidRPr="00407BA3">
              <w:rPr>
                <w:rStyle w:val="FontStyle44"/>
              </w:rPr>
              <w:t>Бал результативності (за чотирибальною системою оцінки)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A5" w:rsidRPr="00407BA3" w:rsidRDefault="008578A5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center"/>
              <w:rPr>
                <w:rStyle w:val="FontStyle44"/>
              </w:rPr>
            </w:pPr>
            <w:r w:rsidRPr="00407BA3">
              <w:rPr>
                <w:rStyle w:val="FontStyle44"/>
              </w:rPr>
              <w:t xml:space="preserve">Коментарі щодо присвоєння відповідного </w:t>
            </w:r>
            <w:proofErr w:type="spellStart"/>
            <w:r w:rsidRPr="00407BA3">
              <w:rPr>
                <w:rStyle w:val="FontStyle44"/>
              </w:rPr>
              <w:t>бала</w:t>
            </w:r>
            <w:proofErr w:type="spellEnd"/>
          </w:p>
        </w:tc>
      </w:tr>
      <w:tr w:rsidR="008578A5" w:rsidRPr="00407BA3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A5" w:rsidRPr="00407BA3" w:rsidRDefault="008578A5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both"/>
              <w:rPr>
                <w:rStyle w:val="FontStyle41"/>
                <w:b w:val="0"/>
                <w:sz w:val="24"/>
                <w:szCs w:val="24"/>
              </w:rPr>
            </w:pPr>
            <w:r w:rsidRPr="00407BA3">
              <w:rPr>
                <w:rStyle w:val="FontStyle41"/>
                <w:b w:val="0"/>
                <w:sz w:val="24"/>
                <w:szCs w:val="24"/>
              </w:rPr>
              <w:t xml:space="preserve">Альтернатива 1: </w:t>
            </w:r>
          </w:p>
          <w:p w:rsidR="008578A5" w:rsidRPr="00407BA3" w:rsidRDefault="008578A5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both"/>
              <w:rPr>
                <w:rStyle w:val="FontStyle41"/>
                <w:b w:val="0"/>
                <w:sz w:val="24"/>
                <w:szCs w:val="24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A5" w:rsidRPr="00407BA3" w:rsidRDefault="008578A5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center"/>
              <w:rPr>
                <w:rStyle w:val="FontStyle41"/>
                <w:b w:val="0"/>
                <w:sz w:val="24"/>
                <w:szCs w:val="24"/>
              </w:rPr>
            </w:pPr>
            <w:r w:rsidRPr="00407BA3">
              <w:rPr>
                <w:rStyle w:val="FontStyle41"/>
                <w:b w:val="0"/>
                <w:sz w:val="24"/>
                <w:szCs w:val="24"/>
              </w:rPr>
              <w:t>4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A5" w:rsidRPr="00407BA3" w:rsidRDefault="008578A5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both"/>
            </w:pPr>
            <w:r w:rsidRPr="00407BA3">
              <w:t xml:space="preserve">Проблема більше не існуватиме </w:t>
            </w:r>
          </w:p>
          <w:p w:rsidR="001779A1" w:rsidRPr="00407BA3" w:rsidRDefault="008578A5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both"/>
              <w:rPr>
                <w:rStyle w:val="FontStyle41"/>
                <w:b w:val="0"/>
                <w:sz w:val="24"/>
                <w:szCs w:val="24"/>
              </w:rPr>
            </w:pPr>
            <w:r w:rsidRPr="00407BA3">
              <w:t>(зазначений спосіб повністю відповідає вимогам законодавства та сучасності, є найбільш доцільним і ефективним)</w:t>
            </w:r>
          </w:p>
        </w:tc>
      </w:tr>
      <w:tr w:rsidR="008578A5" w:rsidRPr="00407BA3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A5" w:rsidRPr="00407BA3" w:rsidRDefault="008578A5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rPr>
                <w:rStyle w:val="FontStyle41"/>
                <w:b w:val="0"/>
                <w:sz w:val="24"/>
                <w:szCs w:val="24"/>
              </w:rPr>
            </w:pPr>
            <w:r w:rsidRPr="00407BA3">
              <w:rPr>
                <w:rStyle w:val="FontStyle41"/>
                <w:b w:val="0"/>
                <w:sz w:val="24"/>
                <w:szCs w:val="24"/>
              </w:rPr>
              <w:t xml:space="preserve">Альтернатива </w:t>
            </w:r>
            <w:r w:rsidR="0049030C" w:rsidRPr="00407BA3">
              <w:rPr>
                <w:rStyle w:val="FontStyle41"/>
                <w:b w:val="0"/>
                <w:sz w:val="24"/>
                <w:szCs w:val="24"/>
              </w:rPr>
              <w:t>2</w:t>
            </w:r>
            <w:r w:rsidRPr="00407BA3">
              <w:rPr>
                <w:rStyle w:val="FontStyle41"/>
                <w:b w:val="0"/>
                <w:sz w:val="24"/>
                <w:szCs w:val="24"/>
              </w:rPr>
              <w:t xml:space="preserve">: 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A5" w:rsidRPr="00407BA3" w:rsidRDefault="008578A5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center"/>
              <w:rPr>
                <w:rStyle w:val="FontStyle41"/>
                <w:b w:val="0"/>
                <w:sz w:val="24"/>
                <w:szCs w:val="24"/>
              </w:rPr>
            </w:pPr>
            <w:r w:rsidRPr="00407BA3">
              <w:rPr>
                <w:rStyle w:val="FontStyle41"/>
                <w:b w:val="0"/>
                <w:sz w:val="24"/>
                <w:szCs w:val="24"/>
              </w:rPr>
              <w:t>1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A5" w:rsidRPr="00407BA3" w:rsidRDefault="008578A5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both"/>
              <w:rPr>
                <w:rStyle w:val="FontStyle41"/>
                <w:b w:val="0"/>
                <w:sz w:val="24"/>
                <w:szCs w:val="24"/>
              </w:rPr>
            </w:pPr>
            <w:r w:rsidRPr="00407BA3">
              <w:rPr>
                <w:rStyle w:val="FontStyle41"/>
                <w:b w:val="0"/>
                <w:sz w:val="24"/>
                <w:szCs w:val="24"/>
              </w:rPr>
              <w:t>Проблема продовжує існувати</w:t>
            </w:r>
          </w:p>
        </w:tc>
      </w:tr>
    </w:tbl>
    <w:p w:rsidR="00FD3E20" w:rsidRPr="00407BA3" w:rsidRDefault="00FD3E20" w:rsidP="007B72DB">
      <w:pPr>
        <w:pStyle w:val="rvps12"/>
        <w:shd w:val="clear" w:color="auto" w:fill="FFFFFF"/>
        <w:spacing w:before="0" w:beforeAutospacing="0" w:after="0" w:afterAutospacing="0"/>
        <w:ind w:firstLine="900"/>
        <w:jc w:val="center"/>
        <w:textAlignment w:val="baseline"/>
        <w:rPr>
          <w:color w:val="000000"/>
          <w:lang w:val="uk-UA"/>
        </w:rPr>
      </w:pPr>
    </w:p>
    <w:p w:rsidR="00F26FC1" w:rsidRPr="00407BA3" w:rsidRDefault="00F26FC1" w:rsidP="007B72DB">
      <w:pPr>
        <w:pStyle w:val="rvps12"/>
        <w:shd w:val="clear" w:color="auto" w:fill="FFFFFF"/>
        <w:spacing w:before="0" w:beforeAutospacing="0" w:after="0" w:afterAutospacing="0"/>
        <w:ind w:firstLine="900"/>
        <w:jc w:val="center"/>
        <w:textAlignment w:val="baseline"/>
        <w:rPr>
          <w:color w:val="000000"/>
          <w:lang w:val="uk-UA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439"/>
        <w:gridCol w:w="2061"/>
        <w:gridCol w:w="1103"/>
        <w:gridCol w:w="1355"/>
        <w:gridCol w:w="2340"/>
      </w:tblGrid>
      <w:tr w:rsidR="00843958" w:rsidRPr="00407BA3" w:rsidTr="00A816A6">
        <w:trPr>
          <w:trHeight w:val="856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58" w:rsidRPr="00CC6537" w:rsidRDefault="00843958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center"/>
              <w:rPr>
                <w:rStyle w:val="FontStyle41"/>
                <w:b w:val="0"/>
                <w:sz w:val="24"/>
                <w:szCs w:val="24"/>
              </w:rPr>
            </w:pPr>
            <w:r w:rsidRPr="00CC6537">
              <w:rPr>
                <w:rStyle w:val="FontStyle41"/>
                <w:b w:val="0"/>
                <w:sz w:val="24"/>
                <w:szCs w:val="24"/>
              </w:rPr>
              <w:t>Рейтинг результативності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58" w:rsidRPr="00CC6537" w:rsidRDefault="00843958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center"/>
              <w:rPr>
                <w:rStyle w:val="FontStyle44"/>
              </w:rPr>
            </w:pPr>
            <w:r w:rsidRPr="00CC6537">
              <w:rPr>
                <w:rStyle w:val="FontStyle44"/>
              </w:rPr>
              <w:t>Вигоди (підсумок)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58" w:rsidRPr="00CC6537" w:rsidRDefault="00843958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center"/>
              <w:rPr>
                <w:rStyle w:val="FontStyle44"/>
              </w:rPr>
            </w:pPr>
            <w:r w:rsidRPr="00CC6537">
              <w:rPr>
                <w:rStyle w:val="FontStyle44"/>
              </w:rPr>
              <w:t>Витрати (підсумок)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58" w:rsidRPr="00CC6537" w:rsidRDefault="00D51502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center"/>
              <w:rPr>
                <w:rStyle w:val="FontStyle44"/>
              </w:rPr>
            </w:pPr>
            <w:r w:rsidRPr="00CC6537">
              <w:rPr>
                <w:rStyle w:val="FontStyle44"/>
              </w:rPr>
              <w:t>Обґрунтування</w:t>
            </w:r>
            <w:r w:rsidR="00843958" w:rsidRPr="00CC6537">
              <w:rPr>
                <w:rStyle w:val="FontStyle44"/>
              </w:rPr>
              <w:t xml:space="preserve"> відповідного місця альтернативи у рейтингу</w:t>
            </w:r>
          </w:p>
        </w:tc>
      </w:tr>
      <w:tr w:rsidR="00A816A6" w:rsidRPr="00407BA3" w:rsidTr="00A816A6">
        <w:trPr>
          <w:trHeight w:val="856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A6" w:rsidRPr="00407BA3" w:rsidRDefault="00A816A6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both"/>
              <w:rPr>
                <w:rStyle w:val="FontStyle41"/>
                <w:b w:val="0"/>
                <w:sz w:val="24"/>
                <w:szCs w:val="24"/>
              </w:rPr>
            </w:pPr>
            <w:r w:rsidRPr="00407BA3">
              <w:rPr>
                <w:rStyle w:val="FontStyle41"/>
                <w:b w:val="0"/>
                <w:sz w:val="24"/>
                <w:szCs w:val="24"/>
              </w:rPr>
              <w:t xml:space="preserve">Альтернатива 1: </w:t>
            </w:r>
          </w:p>
          <w:p w:rsidR="00A816A6" w:rsidRPr="00407BA3" w:rsidRDefault="00A816A6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both"/>
              <w:rPr>
                <w:rStyle w:val="FontStyle41"/>
                <w:b w:val="0"/>
                <w:sz w:val="24"/>
                <w:szCs w:val="24"/>
              </w:rPr>
            </w:pP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A6" w:rsidRPr="00407BA3" w:rsidRDefault="000E5937" w:rsidP="00EC4118">
            <w:pPr>
              <w:ind w:left="141"/>
              <w:jc w:val="both"/>
            </w:pPr>
            <w:r w:rsidRPr="00407BA3">
              <w:rPr>
                <w:rStyle w:val="FontStyle44"/>
              </w:rPr>
              <w:t xml:space="preserve">Запропонований спосіб вирішення зазначеної проблеми є найбільш доцільним і дасть змогу </w:t>
            </w:r>
            <w:r w:rsidR="00D51502" w:rsidRPr="00407BA3">
              <w:t xml:space="preserve">забезпечити </w:t>
            </w:r>
            <w:r w:rsidR="0077088F">
              <w:t>взаємодію</w:t>
            </w:r>
            <w:r w:rsidR="0022586F">
              <w:t xml:space="preserve"> функціональних органів</w:t>
            </w:r>
            <w:r w:rsidR="00D51502" w:rsidRPr="00407BA3">
              <w:t xml:space="preserve"> </w:t>
            </w:r>
            <w:r w:rsidR="0077088F" w:rsidRPr="00D3290D">
              <w:t xml:space="preserve">для всіх режимів функціонування критичної інфраструктури (штатний режим, режим готовності та запобігання реалізації загроз, режим реагування на виникнення кризової ситуації, режим відновлення штатного режиму) у секторах «транспорт і пошта» та «системи життєзабезпечення», а також взаємодію та </w:t>
            </w:r>
            <w:r w:rsidR="0077088F" w:rsidRPr="00D3290D">
              <w:lastRenderedPageBreak/>
              <w:t>підтримання життєво важливих функцій на випадок порушення функціонування об’єктів критичної інфраструктури у секторах критичної інфраструктури, за які відповідальне Мінрозвитку, що, в свою чергу, забезпечить запобігання кризовим ситуаціям та проявам несанкціонованого втручання в їх функціонування</w:t>
            </w:r>
            <w:r w:rsidR="0077088F" w:rsidRPr="00407BA3">
              <w:t>.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2DB" w:rsidRPr="00407BA3" w:rsidRDefault="004E10CB" w:rsidP="007B72D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07BA3">
              <w:rPr>
                <w:rStyle w:val="FontStyle41"/>
                <w:b w:val="0"/>
                <w:sz w:val="24"/>
                <w:szCs w:val="24"/>
              </w:rPr>
              <w:lastRenderedPageBreak/>
              <w:t>відсутні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A6" w:rsidRPr="00407BA3" w:rsidRDefault="00A816A6" w:rsidP="007B72DB">
            <w:pPr>
              <w:autoSpaceDE w:val="0"/>
              <w:autoSpaceDN w:val="0"/>
              <w:adjustRightInd w:val="0"/>
              <w:jc w:val="both"/>
              <w:rPr>
                <w:rStyle w:val="FontStyle41"/>
                <w:b w:val="0"/>
                <w:sz w:val="24"/>
                <w:szCs w:val="24"/>
              </w:rPr>
            </w:pPr>
            <w:r w:rsidRPr="00407BA3">
              <w:t xml:space="preserve">Прийняття </w:t>
            </w:r>
            <w:r w:rsidR="00CC6537">
              <w:t xml:space="preserve">регуляторного </w:t>
            </w:r>
            <w:r w:rsidRPr="00407BA3">
              <w:t xml:space="preserve">акта дозволить досягнути задекларованих цілей, </w:t>
            </w:r>
            <w:r w:rsidR="00D51502" w:rsidRPr="00407BA3">
              <w:rPr>
                <w:bCs/>
                <w:color w:val="000000"/>
              </w:rPr>
              <w:t>забезпечення безпеки об’єктів критичної інфраструктури</w:t>
            </w:r>
          </w:p>
        </w:tc>
      </w:tr>
      <w:tr w:rsidR="00A816A6" w:rsidRPr="00407BA3" w:rsidTr="00A816A6">
        <w:trPr>
          <w:trHeight w:val="349"/>
        </w:trPr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A6" w:rsidRPr="00407BA3" w:rsidRDefault="00A816A6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both"/>
              <w:rPr>
                <w:rStyle w:val="FontStyle41"/>
                <w:b w:val="0"/>
                <w:sz w:val="24"/>
                <w:szCs w:val="24"/>
              </w:rPr>
            </w:pPr>
            <w:r w:rsidRPr="00407BA3">
              <w:rPr>
                <w:rStyle w:val="FontStyle41"/>
                <w:b w:val="0"/>
                <w:sz w:val="24"/>
                <w:szCs w:val="24"/>
              </w:rPr>
              <w:t xml:space="preserve">Альтернатива 2: 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A6" w:rsidRPr="00407BA3" w:rsidRDefault="004E10CB" w:rsidP="007B72DB">
            <w:pPr>
              <w:pStyle w:val="HTML"/>
              <w:widowControl w:val="0"/>
              <w:ind w:left="14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407BA3">
              <w:rPr>
                <w:rStyle w:val="FontStyle44"/>
                <w:lang w:val="uk-UA"/>
              </w:rPr>
              <w:t>відсутні</w:t>
            </w:r>
          </w:p>
        </w:tc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A6" w:rsidRPr="00407BA3" w:rsidRDefault="00A816A6" w:rsidP="007B72DB">
            <w:pPr>
              <w:autoSpaceDE w:val="0"/>
              <w:autoSpaceDN w:val="0"/>
              <w:adjustRightInd w:val="0"/>
              <w:jc w:val="both"/>
              <w:rPr>
                <w:rStyle w:val="FontStyle41"/>
                <w:b w:val="0"/>
                <w:sz w:val="24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6A6" w:rsidRPr="00407BA3" w:rsidRDefault="0022586F" w:rsidP="007B72DB">
            <w:pPr>
              <w:autoSpaceDE w:val="0"/>
              <w:autoSpaceDN w:val="0"/>
              <w:adjustRightInd w:val="0"/>
              <w:jc w:val="both"/>
              <w:rPr>
                <w:rStyle w:val="FontStyle41"/>
                <w:b w:val="0"/>
                <w:sz w:val="24"/>
                <w:szCs w:val="24"/>
              </w:rPr>
            </w:pPr>
            <w:r>
              <w:rPr>
                <w:rStyle w:val="FontStyle41"/>
                <w:b w:val="0"/>
                <w:sz w:val="24"/>
                <w:szCs w:val="24"/>
              </w:rPr>
              <w:t>Проблема залишається</w:t>
            </w:r>
          </w:p>
        </w:tc>
      </w:tr>
      <w:tr w:rsidR="00843958" w:rsidRPr="00407BA3" w:rsidTr="00A816A6"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58" w:rsidRPr="00407BA3" w:rsidRDefault="00843958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center"/>
              <w:rPr>
                <w:rStyle w:val="FontStyle41"/>
                <w:sz w:val="24"/>
                <w:szCs w:val="24"/>
              </w:rPr>
            </w:pPr>
            <w:bookmarkStart w:id="62" w:name="n161"/>
            <w:bookmarkEnd w:id="62"/>
            <w:r w:rsidRPr="00407BA3">
              <w:rPr>
                <w:rStyle w:val="FontStyle41"/>
                <w:sz w:val="24"/>
                <w:szCs w:val="24"/>
              </w:rPr>
              <w:t>Рейтинг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58" w:rsidRPr="00407BA3" w:rsidRDefault="00843958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center"/>
              <w:rPr>
                <w:rStyle w:val="FontStyle44"/>
                <w:b/>
              </w:rPr>
            </w:pPr>
            <w:r w:rsidRPr="00407BA3">
              <w:rPr>
                <w:rStyle w:val="FontStyle44"/>
                <w:b/>
              </w:rPr>
              <w:t>А</w:t>
            </w:r>
            <w:r w:rsidR="00E45A5F" w:rsidRPr="00407BA3">
              <w:rPr>
                <w:rStyle w:val="FontStyle44"/>
                <w:b/>
              </w:rPr>
              <w:t>р</w:t>
            </w:r>
            <w:r w:rsidRPr="00407BA3">
              <w:rPr>
                <w:rStyle w:val="FontStyle44"/>
                <w:b/>
              </w:rPr>
              <w:t>гументи щодо переваги обраної альтернативи/причини відмови від альтернативи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58" w:rsidRPr="00407BA3" w:rsidRDefault="00843958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center"/>
              <w:rPr>
                <w:rStyle w:val="FontStyle44"/>
                <w:b/>
              </w:rPr>
            </w:pPr>
            <w:r w:rsidRPr="00407BA3">
              <w:rPr>
                <w:rStyle w:val="FontStyle44"/>
                <w:b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843958" w:rsidRPr="00407BA3" w:rsidTr="00A816A6"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58" w:rsidRPr="00407BA3" w:rsidRDefault="00843958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both"/>
              <w:rPr>
                <w:rStyle w:val="FontStyle41"/>
                <w:b w:val="0"/>
                <w:sz w:val="24"/>
                <w:szCs w:val="24"/>
              </w:rPr>
            </w:pPr>
            <w:r w:rsidRPr="00407BA3">
              <w:rPr>
                <w:rStyle w:val="FontStyle41"/>
                <w:b w:val="0"/>
                <w:sz w:val="24"/>
                <w:szCs w:val="24"/>
              </w:rPr>
              <w:t xml:space="preserve">Альтернатива 1: </w:t>
            </w:r>
          </w:p>
          <w:p w:rsidR="00843958" w:rsidRPr="00407BA3" w:rsidRDefault="00843958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both"/>
              <w:rPr>
                <w:rStyle w:val="FontStyle41"/>
                <w:b w:val="0"/>
                <w:sz w:val="24"/>
                <w:szCs w:val="24"/>
              </w:rPr>
            </w:pP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58" w:rsidRPr="00B107AD" w:rsidRDefault="00CC6537" w:rsidP="0022586F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both"/>
              <w:rPr>
                <w:rStyle w:val="FontStyle41"/>
                <w:b w:val="0"/>
                <w:sz w:val="24"/>
                <w:szCs w:val="24"/>
              </w:rPr>
            </w:pPr>
            <w:r w:rsidRPr="00B107AD">
              <w:rPr>
                <w:color w:val="000000"/>
              </w:rPr>
              <w:t>Реалізація регуляторного акта з</w:t>
            </w:r>
            <w:r w:rsidR="00843958" w:rsidRPr="00B107AD">
              <w:rPr>
                <w:color w:val="000000"/>
              </w:rPr>
              <w:t xml:space="preserve">абезпечить </w:t>
            </w:r>
            <w:r w:rsidRPr="00B107AD">
              <w:rPr>
                <w:color w:val="000000"/>
              </w:rPr>
              <w:t>досягнення поставлених цілей</w:t>
            </w:r>
            <w:r w:rsidR="00843958" w:rsidRPr="00B107AD">
              <w:rPr>
                <w:color w:val="000000"/>
              </w:rPr>
              <w:t xml:space="preserve">: </w:t>
            </w:r>
            <w:r w:rsidR="004B12C6" w:rsidRPr="00B107AD">
              <w:t>забезпечит</w:t>
            </w:r>
            <w:r w:rsidRPr="00B107AD">
              <w:t>ь</w:t>
            </w:r>
            <w:r w:rsidR="004B12C6" w:rsidRPr="00B107AD">
              <w:t xml:space="preserve"> </w:t>
            </w:r>
            <w:r w:rsidR="00B107AD" w:rsidRPr="00B107AD">
              <w:t>взаємодію функціональних органів для всіх режимів функціонування критичної інфраструктури (штатний режим, режим готовності та запобігання реалізації загроз, режим реагування на виникнення кризової ситуації, режим відновлення штатного режиму)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58" w:rsidRPr="00407BA3" w:rsidRDefault="00843958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both"/>
              <w:rPr>
                <w:rStyle w:val="FontStyle41"/>
                <w:b w:val="0"/>
                <w:sz w:val="24"/>
                <w:szCs w:val="24"/>
              </w:rPr>
            </w:pPr>
            <w:r w:rsidRPr="00407BA3">
              <w:rPr>
                <w:rStyle w:val="FontStyle41"/>
                <w:b w:val="0"/>
                <w:sz w:val="24"/>
                <w:szCs w:val="24"/>
              </w:rPr>
              <w:t>Вплив зовнішніх факторів на дію регуляторного акта не очікується</w:t>
            </w:r>
          </w:p>
        </w:tc>
      </w:tr>
      <w:tr w:rsidR="00C9622A" w:rsidRPr="00407BA3" w:rsidTr="00A816A6">
        <w:tc>
          <w:tcPr>
            <w:tcW w:w="1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2A" w:rsidRPr="00407BA3" w:rsidRDefault="00C9622A" w:rsidP="007B72DB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rPr>
                <w:rStyle w:val="FontStyle41"/>
                <w:b w:val="0"/>
                <w:sz w:val="24"/>
                <w:szCs w:val="24"/>
              </w:rPr>
            </w:pPr>
            <w:r w:rsidRPr="00407BA3">
              <w:rPr>
                <w:rStyle w:val="FontStyle41"/>
                <w:b w:val="0"/>
                <w:sz w:val="24"/>
                <w:szCs w:val="24"/>
              </w:rPr>
              <w:t xml:space="preserve">Альтернатива </w:t>
            </w:r>
            <w:r w:rsidR="00A816A6" w:rsidRPr="00407BA3">
              <w:rPr>
                <w:rStyle w:val="FontStyle41"/>
                <w:b w:val="0"/>
                <w:sz w:val="24"/>
                <w:szCs w:val="24"/>
              </w:rPr>
              <w:t>2</w:t>
            </w:r>
            <w:r w:rsidRPr="00407BA3">
              <w:rPr>
                <w:rStyle w:val="FontStyle41"/>
                <w:b w:val="0"/>
                <w:sz w:val="24"/>
                <w:szCs w:val="24"/>
              </w:rPr>
              <w:t xml:space="preserve">: 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2A" w:rsidRPr="00407BA3" w:rsidRDefault="00C9622A" w:rsidP="0022586F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both"/>
              <w:rPr>
                <w:rStyle w:val="FontStyle41"/>
                <w:b w:val="0"/>
                <w:sz w:val="24"/>
                <w:szCs w:val="24"/>
              </w:rPr>
            </w:pPr>
            <w:r w:rsidRPr="00407BA3">
              <w:rPr>
                <w:rStyle w:val="FontStyle41"/>
                <w:b w:val="0"/>
                <w:sz w:val="24"/>
                <w:szCs w:val="24"/>
              </w:rPr>
              <w:t>Неприйнятна, тому що відсутність регулювання негативно вплине</w:t>
            </w:r>
            <w:r w:rsidR="00EC4118">
              <w:rPr>
                <w:rStyle w:val="FontStyle41"/>
                <w:b w:val="0"/>
                <w:sz w:val="24"/>
                <w:szCs w:val="24"/>
              </w:rPr>
              <w:t xml:space="preserve"> на</w:t>
            </w:r>
            <w:r w:rsidRPr="00407BA3">
              <w:rPr>
                <w:rStyle w:val="FontStyle41"/>
                <w:b w:val="0"/>
                <w:sz w:val="24"/>
                <w:szCs w:val="24"/>
              </w:rPr>
              <w:t xml:space="preserve"> </w:t>
            </w:r>
            <w:r w:rsidR="0022586F">
              <w:rPr>
                <w:rStyle w:val="FontStyle41"/>
                <w:b w:val="0"/>
                <w:sz w:val="24"/>
                <w:szCs w:val="24"/>
              </w:rPr>
              <w:t>забезпечення взаємодії під час кризової ситуації на</w:t>
            </w:r>
            <w:r w:rsidR="004B12C6" w:rsidRPr="00407BA3">
              <w:rPr>
                <w:rStyle w:val="FontStyle41"/>
                <w:b w:val="0"/>
                <w:sz w:val="24"/>
                <w:szCs w:val="24"/>
              </w:rPr>
              <w:t xml:space="preserve"> об’єкті критичної інфраструктури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22A" w:rsidRPr="00407BA3" w:rsidRDefault="00FC0B25" w:rsidP="0022586F">
            <w:pPr>
              <w:pStyle w:val="Style21"/>
              <w:widowControl/>
              <w:tabs>
                <w:tab w:val="left" w:pos="1406"/>
              </w:tabs>
              <w:spacing w:line="240" w:lineRule="auto"/>
              <w:ind w:firstLine="0"/>
              <w:jc w:val="both"/>
              <w:rPr>
                <w:rStyle w:val="FontStyle41"/>
                <w:b w:val="0"/>
                <w:sz w:val="24"/>
                <w:szCs w:val="24"/>
              </w:rPr>
            </w:pPr>
            <w:r w:rsidRPr="00407BA3">
              <w:rPr>
                <w:rStyle w:val="FontStyle41"/>
                <w:b w:val="0"/>
                <w:sz w:val="24"/>
                <w:szCs w:val="24"/>
              </w:rPr>
              <w:t>Витрат</w:t>
            </w:r>
            <w:r w:rsidR="00EC4118">
              <w:rPr>
                <w:rStyle w:val="FontStyle41"/>
                <w:b w:val="0"/>
                <w:sz w:val="24"/>
                <w:szCs w:val="24"/>
              </w:rPr>
              <w:t>и</w:t>
            </w:r>
            <w:r w:rsidRPr="00407BA3">
              <w:rPr>
                <w:rStyle w:val="FontStyle41"/>
                <w:b w:val="0"/>
                <w:sz w:val="24"/>
                <w:szCs w:val="24"/>
              </w:rPr>
              <w:t xml:space="preserve"> </w:t>
            </w:r>
            <w:r w:rsidR="0022586F">
              <w:rPr>
                <w:rStyle w:val="FontStyle41"/>
                <w:b w:val="0"/>
                <w:sz w:val="24"/>
                <w:szCs w:val="24"/>
              </w:rPr>
              <w:t>відсутні</w:t>
            </w:r>
          </w:p>
        </w:tc>
      </w:tr>
    </w:tbl>
    <w:p w:rsidR="00700413" w:rsidRPr="00407BA3" w:rsidRDefault="00700413" w:rsidP="007B72DB">
      <w:pPr>
        <w:pStyle w:val="rvps12"/>
        <w:shd w:val="clear" w:color="auto" w:fill="FFFFFF"/>
        <w:spacing w:before="0" w:beforeAutospacing="0" w:after="0" w:afterAutospacing="0"/>
        <w:ind w:firstLine="900"/>
        <w:jc w:val="center"/>
        <w:textAlignment w:val="baseline"/>
        <w:rPr>
          <w:rStyle w:val="rvts15"/>
          <w:b/>
          <w:bCs/>
          <w:sz w:val="28"/>
          <w:szCs w:val="28"/>
          <w:bdr w:val="none" w:sz="0" w:space="0" w:color="auto" w:frame="1"/>
          <w:lang w:val="uk-UA"/>
        </w:rPr>
      </w:pPr>
    </w:p>
    <w:p w:rsidR="005E57FB" w:rsidRPr="00407BA3" w:rsidRDefault="005E57FB" w:rsidP="00ED116C">
      <w:pPr>
        <w:pStyle w:val="rvps1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407BA3">
        <w:rPr>
          <w:rStyle w:val="rvts15"/>
          <w:b/>
          <w:bCs/>
          <w:sz w:val="28"/>
          <w:szCs w:val="28"/>
          <w:bdr w:val="none" w:sz="0" w:space="0" w:color="auto" w:frame="1"/>
          <w:lang w:val="uk-UA"/>
        </w:rPr>
        <w:lastRenderedPageBreak/>
        <w:t>V. Механізми та заходи, які забезпечать розв’язання визначеної проблеми</w:t>
      </w:r>
    </w:p>
    <w:p w:rsidR="006E72CC" w:rsidRPr="00407BA3" w:rsidRDefault="00ED1B90" w:rsidP="007B72DB">
      <w:pPr>
        <w:pStyle w:val="HTML"/>
        <w:ind w:right="43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63" w:name="n162"/>
      <w:bookmarkEnd w:id="63"/>
      <w:r w:rsidRPr="00407BA3">
        <w:rPr>
          <w:rStyle w:val="FontStyle44"/>
          <w:color w:val="auto"/>
          <w:sz w:val="28"/>
          <w:szCs w:val="28"/>
          <w:lang w:val="uk-UA"/>
        </w:rPr>
        <w:t>Основним завданням про</w:t>
      </w:r>
      <w:r w:rsidR="00411172" w:rsidRPr="00407BA3">
        <w:rPr>
          <w:rStyle w:val="FontStyle44"/>
          <w:color w:val="auto"/>
          <w:sz w:val="28"/>
          <w:szCs w:val="28"/>
          <w:lang w:val="uk-UA"/>
        </w:rPr>
        <w:t>є</w:t>
      </w:r>
      <w:r w:rsidRPr="00407BA3">
        <w:rPr>
          <w:rStyle w:val="FontStyle44"/>
          <w:color w:val="auto"/>
          <w:sz w:val="28"/>
          <w:szCs w:val="28"/>
          <w:lang w:val="uk-UA"/>
        </w:rPr>
        <w:t xml:space="preserve">кту наказу є </w:t>
      </w:r>
      <w:r w:rsidRPr="00407BA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виконання вимог законодавства України</w:t>
      </w:r>
      <w:r w:rsidRPr="00407BA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 сфері </w:t>
      </w:r>
      <w:r w:rsidR="004B12C6" w:rsidRPr="00407BA3">
        <w:rPr>
          <w:rFonts w:ascii="Times New Roman" w:hAnsi="Times New Roman" w:cs="Times New Roman"/>
          <w:color w:val="auto"/>
          <w:sz w:val="28"/>
          <w:szCs w:val="28"/>
          <w:lang w:val="uk-UA"/>
        </w:rPr>
        <w:t>захисту критичної інфраструктури</w:t>
      </w:r>
      <w:r w:rsidRPr="00407BA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. </w:t>
      </w:r>
    </w:p>
    <w:p w:rsidR="00F65792" w:rsidRPr="00407BA3" w:rsidRDefault="00F65792" w:rsidP="007B72DB">
      <w:pPr>
        <w:pStyle w:val="2"/>
        <w:tabs>
          <w:tab w:val="left" w:pos="322"/>
        </w:tabs>
        <w:spacing w:after="0" w:line="240" w:lineRule="auto"/>
        <w:ind w:left="0" w:firstLine="567"/>
        <w:jc w:val="both"/>
        <w:rPr>
          <w:color w:val="000000"/>
          <w:szCs w:val="28"/>
        </w:rPr>
      </w:pPr>
      <w:r w:rsidRPr="00407BA3">
        <w:t xml:space="preserve">Головною мотивацією </w:t>
      </w:r>
      <w:r w:rsidR="00411172" w:rsidRPr="00407BA3">
        <w:rPr>
          <w:bCs/>
          <w:color w:val="000000"/>
          <w:szCs w:val="28"/>
        </w:rPr>
        <w:t xml:space="preserve">є </w:t>
      </w:r>
      <w:r w:rsidR="00FC0B25" w:rsidRPr="00407BA3">
        <w:rPr>
          <w:rStyle w:val="rvts52"/>
          <w:szCs w:val="28"/>
        </w:rPr>
        <w:t>приведення</w:t>
      </w:r>
      <w:r w:rsidR="00D02349" w:rsidRPr="00407BA3">
        <w:rPr>
          <w:rStyle w:val="rvts52"/>
          <w:szCs w:val="28"/>
        </w:rPr>
        <w:t xml:space="preserve"> нормативно-правової бази</w:t>
      </w:r>
      <w:r w:rsidR="00FC0B25" w:rsidRPr="00407BA3">
        <w:rPr>
          <w:rStyle w:val="rvts52"/>
          <w:szCs w:val="28"/>
        </w:rPr>
        <w:t xml:space="preserve"> </w:t>
      </w:r>
      <w:r w:rsidR="00411172" w:rsidRPr="00407BA3">
        <w:rPr>
          <w:bCs/>
          <w:color w:val="000000"/>
          <w:szCs w:val="28"/>
        </w:rPr>
        <w:t xml:space="preserve">у </w:t>
      </w:r>
      <w:r w:rsidR="00411172" w:rsidRPr="003668CE">
        <w:rPr>
          <w:bCs/>
          <w:color w:val="000000"/>
          <w:szCs w:val="28"/>
        </w:rPr>
        <w:t xml:space="preserve">відповідність </w:t>
      </w:r>
      <w:r w:rsidR="00CC6537" w:rsidRPr="003668CE">
        <w:rPr>
          <w:bCs/>
          <w:color w:val="000000"/>
          <w:szCs w:val="28"/>
        </w:rPr>
        <w:t>до</w:t>
      </w:r>
      <w:r w:rsidR="00411172" w:rsidRPr="003668CE">
        <w:rPr>
          <w:bCs/>
          <w:color w:val="000000"/>
          <w:szCs w:val="28"/>
        </w:rPr>
        <w:t xml:space="preserve"> норм</w:t>
      </w:r>
      <w:r w:rsidR="00411172" w:rsidRPr="00407BA3">
        <w:rPr>
          <w:bCs/>
          <w:color w:val="000000"/>
          <w:szCs w:val="28"/>
        </w:rPr>
        <w:t xml:space="preserve"> чинного законодавства</w:t>
      </w:r>
      <w:r w:rsidR="00D02349" w:rsidRPr="00407BA3">
        <w:rPr>
          <w:bCs/>
          <w:color w:val="000000"/>
          <w:szCs w:val="28"/>
        </w:rPr>
        <w:t>,</w:t>
      </w:r>
      <w:r w:rsidR="00411172" w:rsidRPr="00407BA3">
        <w:rPr>
          <w:bCs/>
          <w:color w:val="000000"/>
          <w:szCs w:val="28"/>
        </w:rPr>
        <w:t xml:space="preserve"> </w:t>
      </w:r>
      <w:r w:rsidR="000E5937" w:rsidRPr="00407BA3">
        <w:rPr>
          <w:bCs/>
          <w:color w:val="000000"/>
          <w:szCs w:val="28"/>
        </w:rPr>
        <w:t>спрямованих</w:t>
      </w:r>
      <w:r w:rsidR="00D02349" w:rsidRPr="00407BA3">
        <w:rPr>
          <w:bCs/>
          <w:color w:val="000000"/>
          <w:szCs w:val="28"/>
        </w:rPr>
        <w:t xml:space="preserve"> на </w:t>
      </w:r>
      <w:r w:rsidR="00D02349" w:rsidRPr="00407BA3">
        <w:t xml:space="preserve">забезпечення </w:t>
      </w:r>
      <w:r w:rsidR="00B107AD">
        <w:t>взаємоді</w:t>
      </w:r>
      <w:r w:rsidR="00B107AD">
        <w:t>ї</w:t>
      </w:r>
      <w:r w:rsidR="00B107AD">
        <w:t xml:space="preserve"> функціональних органів</w:t>
      </w:r>
      <w:r w:rsidR="00B107AD" w:rsidRPr="00407BA3">
        <w:t xml:space="preserve"> </w:t>
      </w:r>
      <w:r w:rsidR="00B107AD" w:rsidRPr="00D3290D">
        <w:t>для всіх режимів функціонування критичної інфраструктури (штатний режим, режим готовності та запобігання реалізації загроз, режим реагування на виникнення кризової ситуації, режим відновлення штатного режиму)</w:t>
      </w:r>
      <w:r w:rsidR="00C11086" w:rsidRPr="00407BA3">
        <w:rPr>
          <w:color w:val="000000"/>
          <w:szCs w:val="28"/>
        </w:rPr>
        <w:t xml:space="preserve">. </w:t>
      </w:r>
    </w:p>
    <w:p w:rsidR="006F7B19" w:rsidRPr="00407BA3" w:rsidRDefault="006F7B19" w:rsidP="007B72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7BA3">
        <w:rPr>
          <w:sz w:val="28"/>
          <w:szCs w:val="28"/>
        </w:rPr>
        <w:t>Для впровадження цього регуляторного акта необхідно здійснити такі організаційні заходи:</w:t>
      </w:r>
    </w:p>
    <w:p w:rsidR="006F7B19" w:rsidRPr="003668CE" w:rsidRDefault="006F7B19" w:rsidP="007B72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7BA3">
        <w:rPr>
          <w:sz w:val="28"/>
          <w:szCs w:val="28"/>
        </w:rPr>
        <w:t xml:space="preserve">інформувати </w:t>
      </w:r>
      <w:r w:rsidR="00D02349" w:rsidRPr="00407BA3">
        <w:rPr>
          <w:sz w:val="28"/>
          <w:szCs w:val="28"/>
        </w:rPr>
        <w:t>операторів критичної інфраструктури</w:t>
      </w:r>
      <w:r w:rsidRPr="00407BA3">
        <w:rPr>
          <w:sz w:val="28"/>
          <w:szCs w:val="28"/>
        </w:rPr>
        <w:t xml:space="preserve"> про вимоги про</w:t>
      </w:r>
      <w:r w:rsidR="00152AAD" w:rsidRPr="00407BA3">
        <w:rPr>
          <w:sz w:val="28"/>
          <w:szCs w:val="28"/>
        </w:rPr>
        <w:t>є</w:t>
      </w:r>
      <w:r w:rsidRPr="00407BA3">
        <w:rPr>
          <w:sz w:val="28"/>
          <w:szCs w:val="28"/>
        </w:rPr>
        <w:t xml:space="preserve">кту </w:t>
      </w:r>
      <w:r w:rsidRPr="003668CE">
        <w:rPr>
          <w:sz w:val="28"/>
          <w:szCs w:val="28"/>
        </w:rPr>
        <w:t>регуляторного акта шляхом опри</w:t>
      </w:r>
      <w:r w:rsidR="00CC6537" w:rsidRPr="003668CE">
        <w:rPr>
          <w:sz w:val="28"/>
          <w:szCs w:val="28"/>
        </w:rPr>
        <w:t xml:space="preserve">люднення його на офіційному </w:t>
      </w:r>
      <w:proofErr w:type="spellStart"/>
      <w:r w:rsidR="00CC6537" w:rsidRPr="003668CE">
        <w:rPr>
          <w:sz w:val="28"/>
          <w:szCs w:val="28"/>
        </w:rPr>
        <w:t>веб</w:t>
      </w:r>
      <w:r w:rsidRPr="003668CE">
        <w:rPr>
          <w:sz w:val="28"/>
          <w:szCs w:val="28"/>
        </w:rPr>
        <w:t>сайті</w:t>
      </w:r>
      <w:proofErr w:type="spellEnd"/>
      <w:r w:rsidRPr="003668CE">
        <w:rPr>
          <w:sz w:val="28"/>
          <w:szCs w:val="28"/>
        </w:rPr>
        <w:t xml:space="preserve"> </w:t>
      </w:r>
      <w:r w:rsidR="00D02349" w:rsidRPr="003668CE">
        <w:rPr>
          <w:sz w:val="28"/>
          <w:szCs w:val="28"/>
        </w:rPr>
        <w:t>Міністерства розвитку громад та територій України</w:t>
      </w:r>
      <w:r w:rsidRPr="003668CE">
        <w:rPr>
          <w:sz w:val="28"/>
          <w:szCs w:val="28"/>
        </w:rPr>
        <w:t>;</w:t>
      </w:r>
    </w:p>
    <w:p w:rsidR="006F7B19" w:rsidRPr="003668CE" w:rsidRDefault="006F7B19" w:rsidP="007B72D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68CE">
        <w:rPr>
          <w:sz w:val="28"/>
          <w:szCs w:val="28"/>
        </w:rPr>
        <w:t>погодити про</w:t>
      </w:r>
      <w:r w:rsidR="00152AAD" w:rsidRPr="003668CE">
        <w:rPr>
          <w:sz w:val="28"/>
          <w:szCs w:val="28"/>
        </w:rPr>
        <w:t>є</w:t>
      </w:r>
      <w:r w:rsidRPr="003668CE">
        <w:rPr>
          <w:sz w:val="28"/>
          <w:szCs w:val="28"/>
        </w:rPr>
        <w:t>кт регуляторного акта із заінтересованими органами</w:t>
      </w:r>
      <w:r w:rsidR="00FC0B25" w:rsidRPr="003668CE">
        <w:rPr>
          <w:sz w:val="28"/>
          <w:szCs w:val="28"/>
        </w:rPr>
        <w:t>.</w:t>
      </w:r>
    </w:p>
    <w:p w:rsidR="00644774" w:rsidRPr="00407BA3" w:rsidRDefault="00644774" w:rsidP="007B72DB">
      <w:pPr>
        <w:ind w:firstLine="567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3668CE">
        <w:rPr>
          <w:rFonts w:eastAsia="Calibri"/>
          <w:bCs/>
          <w:color w:val="000000"/>
          <w:sz w:val="28"/>
          <w:szCs w:val="28"/>
          <w:lang w:eastAsia="en-US"/>
        </w:rPr>
        <w:t xml:space="preserve">Прийняття </w:t>
      </w:r>
      <w:r w:rsidR="00CC6537" w:rsidRPr="003668CE">
        <w:rPr>
          <w:rFonts w:eastAsia="Calibri"/>
          <w:bCs/>
          <w:color w:val="000000"/>
          <w:sz w:val="28"/>
          <w:szCs w:val="28"/>
          <w:lang w:eastAsia="en-US"/>
        </w:rPr>
        <w:t>регуляторного</w:t>
      </w:r>
      <w:r w:rsidRPr="003668CE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CC6537" w:rsidRPr="003668CE">
        <w:rPr>
          <w:rFonts w:eastAsia="Calibri"/>
          <w:bCs/>
          <w:color w:val="000000"/>
          <w:sz w:val="28"/>
          <w:szCs w:val="28"/>
          <w:lang w:eastAsia="en-US"/>
        </w:rPr>
        <w:t>акта</w:t>
      </w:r>
      <w:r w:rsidRPr="003668CE">
        <w:rPr>
          <w:rFonts w:eastAsia="Calibri"/>
          <w:bCs/>
          <w:color w:val="000000"/>
          <w:sz w:val="28"/>
          <w:szCs w:val="28"/>
          <w:lang w:eastAsia="en-US"/>
        </w:rPr>
        <w:t xml:space="preserve"> не при</w:t>
      </w:r>
      <w:r w:rsidR="00CC6537" w:rsidRPr="003668CE">
        <w:rPr>
          <w:rFonts w:eastAsia="Calibri"/>
          <w:bCs/>
          <w:color w:val="000000"/>
          <w:sz w:val="28"/>
          <w:szCs w:val="28"/>
          <w:lang w:eastAsia="en-US"/>
        </w:rPr>
        <w:t>з</w:t>
      </w:r>
      <w:r w:rsidRPr="003668CE">
        <w:rPr>
          <w:rFonts w:eastAsia="Calibri"/>
          <w:bCs/>
          <w:color w:val="000000"/>
          <w:sz w:val="28"/>
          <w:szCs w:val="28"/>
          <w:lang w:eastAsia="en-US"/>
        </w:rPr>
        <w:t>веде до неочікуваних результатів і не потребує додаткових витрат з державного бюджету</w:t>
      </w:r>
      <w:r w:rsidRPr="00407BA3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6F7B19" w:rsidRPr="00407BA3" w:rsidRDefault="006F7B19" w:rsidP="007B72DB">
      <w:pPr>
        <w:ind w:firstLine="567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407BA3">
        <w:rPr>
          <w:rFonts w:eastAsia="Calibri"/>
          <w:bCs/>
          <w:color w:val="000000"/>
          <w:sz w:val="28"/>
          <w:szCs w:val="28"/>
          <w:lang w:eastAsia="en-US"/>
        </w:rPr>
        <w:t>Ризику впливу зовнішніх факторів на дію регуляторного акта немає.</w:t>
      </w:r>
    </w:p>
    <w:p w:rsidR="006F7B19" w:rsidRPr="00407BA3" w:rsidRDefault="006F7B19" w:rsidP="007B72DB">
      <w:pPr>
        <w:ind w:firstLine="567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407BA3">
        <w:rPr>
          <w:rFonts w:eastAsia="Calibri"/>
          <w:bCs/>
          <w:color w:val="000000"/>
          <w:sz w:val="28"/>
          <w:szCs w:val="28"/>
          <w:lang w:eastAsia="en-US"/>
        </w:rPr>
        <w:t>Досягнення цілей не передбачає додаткових організаційних заходів.</w:t>
      </w:r>
    </w:p>
    <w:p w:rsidR="006F7B19" w:rsidRPr="00407BA3" w:rsidRDefault="006F7B19" w:rsidP="007B72DB">
      <w:pPr>
        <w:ind w:firstLine="567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407BA3">
        <w:rPr>
          <w:rFonts w:eastAsia="Calibri"/>
          <w:bCs/>
          <w:color w:val="000000"/>
          <w:sz w:val="28"/>
          <w:szCs w:val="28"/>
          <w:lang w:eastAsia="en-US"/>
        </w:rPr>
        <w:t>Можлива шкода у разі очікуваних наслідків дії акта не прогнозується.</w:t>
      </w:r>
    </w:p>
    <w:p w:rsidR="00B73056" w:rsidRPr="00407BA3" w:rsidRDefault="006F7B19" w:rsidP="007B72DB">
      <w:pPr>
        <w:pStyle w:val="2"/>
        <w:tabs>
          <w:tab w:val="left" w:pos="322"/>
        </w:tabs>
        <w:spacing w:after="0" w:line="240" w:lineRule="auto"/>
        <w:ind w:left="0" w:firstLine="567"/>
        <w:jc w:val="both"/>
      </w:pPr>
      <w:r w:rsidRPr="00407BA3">
        <w:rPr>
          <w:rFonts w:eastAsia="Calibri"/>
          <w:bCs/>
          <w:color w:val="000000"/>
          <w:szCs w:val="28"/>
          <w:lang w:eastAsia="en-US"/>
        </w:rPr>
        <w:t>З боку суб’єктів господарювання відсутня необхідність вчинення додаткових дій.</w:t>
      </w:r>
    </w:p>
    <w:p w:rsidR="00616B23" w:rsidRPr="00407BA3" w:rsidRDefault="00616B23" w:rsidP="007B72DB">
      <w:pPr>
        <w:pStyle w:val="rvps12"/>
        <w:shd w:val="clear" w:color="auto" w:fill="FFFFFF"/>
        <w:spacing w:before="0" w:beforeAutospacing="0" w:after="0" w:afterAutospacing="0"/>
        <w:ind w:firstLine="900"/>
        <w:jc w:val="center"/>
        <w:textAlignment w:val="baseline"/>
        <w:rPr>
          <w:rStyle w:val="rvts15"/>
          <w:b/>
          <w:bCs/>
          <w:sz w:val="28"/>
          <w:szCs w:val="28"/>
          <w:bdr w:val="none" w:sz="0" w:space="0" w:color="auto" w:frame="1"/>
          <w:lang w:val="uk-UA"/>
        </w:rPr>
      </w:pPr>
      <w:bookmarkStart w:id="64" w:name="n163"/>
      <w:bookmarkEnd w:id="64"/>
    </w:p>
    <w:p w:rsidR="005E57FB" w:rsidRPr="00407BA3" w:rsidRDefault="005E57FB" w:rsidP="00ED116C">
      <w:pPr>
        <w:pStyle w:val="rvps1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r w:rsidRPr="00407BA3">
        <w:rPr>
          <w:rStyle w:val="rvts15"/>
          <w:b/>
          <w:bCs/>
          <w:sz w:val="28"/>
          <w:szCs w:val="28"/>
          <w:bdr w:val="none" w:sz="0" w:space="0" w:color="auto" w:frame="1"/>
          <w:lang w:val="uk-UA"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173C6F" w:rsidRPr="00930E11" w:rsidRDefault="00173C6F" w:rsidP="00ED116C">
      <w:pPr>
        <w:pStyle w:val="10"/>
        <w:ind w:firstLine="567"/>
        <w:jc w:val="both"/>
      </w:pPr>
      <w:bookmarkStart w:id="65" w:name="n164"/>
      <w:bookmarkEnd w:id="65"/>
      <w:r w:rsidRPr="00930E11">
        <w:t>Для впровадження та виконання регуляторного акта органи виконавчої влади не будуть нести додаткових витрат.</w:t>
      </w:r>
    </w:p>
    <w:p w:rsidR="004D26AE" w:rsidRPr="00B107AD" w:rsidRDefault="00173C6F" w:rsidP="00173C6F">
      <w:pPr>
        <w:ind w:firstLine="567"/>
        <w:jc w:val="both"/>
        <w:rPr>
          <w:color w:val="000000"/>
          <w:sz w:val="28"/>
          <w:szCs w:val="28"/>
        </w:rPr>
      </w:pPr>
      <w:r w:rsidRPr="00584034">
        <w:rPr>
          <w:sz w:val="28"/>
          <w:szCs w:val="28"/>
        </w:rPr>
        <w:t xml:space="preserve">Виконання вимог регуляторного акта залежно від ресурсів, якими розпоряджаються </w:t>
      </w:r>
      <w:r w:rsidR="00B107AD">
        <w:rPr>
          <w:sz w:val="28"/>
          <w:szCs w:val="28"/>
        </w:rPr>
        <w:t xml:space="preserve">функціональні органи у сфері захисту критичної </w:t>
      </w:r>
      <w:r w:rsidR="00B107AD" w:rsidRPr="00B107AD">
        <w:rPr>
          <w:sz w:val="28"/>
          <w:szCs w:val="28"/>
        </w:rPr>
        <w:t>інфраструктури</w:t>
      </w:r>
      <w:r w:rsidRPr="00B107AD">
        <w:rPr>
          <w:sz w:val="28"/>
          <w:szCs w:val="28"/>
        </w:rPr>
        <w:t xml:space="preserve">, які </w:t>
      </w:r>
      <w:r w:rsidR="00B107AD" w:rsidRPr="00B107AD">
        <w:rPr>
          <w:sz w:val="28"/>
          <w:szCs w:val="28"/>
        </w:rPr>
        <w:t xml:space="preserve">забезпечують </w:t>
      </w:r>
      <w:r w:rsidR="00B107AD" w:rsidRPr="00B107AD">
        <w:rPr>
          <w:sz w:val="28"/>
          <w:szCs w:val="28"/>
        </w:rPr>
        <w:t>взаємодію для всіх режимів функціонування критичної інфраструктури (штатний режим, режим готовності та запобігання реалізації загроз, режим реагування на виникнення кризової ситуації, режим відновлення штатного режиму)</w:t>
      </w:r>
      <w:r w:rsidRPr="00B107AD">
        <w:rPr>
          <w:sz w:val="28"/>
          <w:szCs w:val="28"/>
        </w:rPr>
        <w:t>, оцінюється вище середнього.</w:t>
      </w:r>
    </w:p>
    <w:p w:rsidR="00644774" w:rsidRDefault="00757D51" w:rsidP="007B72DB">
      <w:pPr>
        <w:pStyle w:val="22"/>
        <w:spacing w:after="0" w:line="240" w:lineRule="auto"/>
        <w:ind w:firstLine="567"/>
        <w:jc w:val="both"/>
        <w:rPr>
          <w:sz w:val="28"/>
          <w:szCs w:val="28"/>
        </w:rPr>
      </w:pPr>
      <w:r w:rsidRPr="00407BA3">
        <w:rPr>
          <w:sz w:val="28"/>
          <w:szCs w:val="28"/>
        </w:rPr>
        <w:t>М-Тест не проводився у зв’язку з тим, що дія про</w:t>
      </w:r>
      <w:r w:rsidR="00152AAD" w:rsidRPr="00407BA3">
        <w:rPr>
          <w:sz w:val="28"/>
          <w:szCs w:val="28"/>
        </w:rPr>
        <w:t>є</w:t>
      </w:r>
      <w:r w:rsidRPr="00407BA3">
        <w:rPr>
          <w:sz w:val="28"/>
          <w:szCs w:val="28"/>
        </w:rPr>
        <w:t xml:space="preserve">кту наказу однаково впливає на всіх </w:t>
      </w:r>
      <w:r w:rsidR="00D34559" w:rsidRPr="00407BA3">
        <w:rPr>
          <w:sz w:val="28"/>
          <w:szCs w:val="28"/>
        </w:rPr>
        <w:t>операторів критичної інфраструктури</w:t>
      </w:r>
      <w:r w:rsidRPr="00407BA3">
        <w:rPr>
          <w:sz w:val="28"/>
          <w:szCs w:val="28"/>
        </w:rPr>
        <w:t xml:space="preserve"> незалежно від форми власності та рівня їх специфіки.</w:t>
      </w:r>
    </w:p>
    <w:p w:rsidR="00B107AD" w:rsidRDefault="00B107AD" w:rsidP="007B72DB">
      <w:pPr>
        <w:pStyle w:val="22"/>
        <w:spacing w:after="0" w:line="240" w:lineRule="auto"/>
        <w:ind w:firstLine="567"/>
        <w:jc w:val="both"/>
        <w:rPr>
          <w:sz w:val="28"/>
          <w:szCs w:val="28"/>
        </w:rPr>
      </w:pPr>
    </w:p>
    <w:p w:rsidR="00B107AD" w:rsidRPr="00407BA3" w:rsidRDefault="00B107AD" w:rsidP="007B72DB">
      <w:pPr>
        <w:pStyle w:val="22"/>
        <w:spacing w:after="0" w:line="240" w:lineRule="auto"/>
        <w:ind w:firstLine="567"/>
        <w:jc w:val="both"/>
        <w:rPr>
          <w:sz w:val="28"/>
          <w:szCs w:val="28"/>
        </w:rPr>
      </w:pPr>
    </w:p>
    <w:p w:rsidR="004D26AE" w:rsidRPr="00407BA3" w:rsidRDefault="00644774" w:rsidP="007B72DB">
      <w:pPr>
        <w:pStyle w:val="22"/>
        <w:spacing w:after="0" w:line="240" w:lineRule="auto"/>
        <w:ind w:firstLine="720"/>
        <w:jc w:val="both"/>
        <w:rPr>
          <w:szCs w:val="28"/>
        </w:rPr>
      </w:pPr>
      <w:r w:rsidRPr="00407BA3">
        <w:rPr>
          <w:szCs w:val="28"/>
        </w:rPr>
        <w:t xml:space="preserve"> </w:t>
      </w:r>
    </w:p>
    <w:p w:rsidR="005E57FB" w:rsidRPr="00407BA3" w:rsidRDefault="008F71A7" w:rsidP="008F71A7">
      <w:pPr>
        <w:pStyle w:val="rvps12"/>
        <w:shd w:val="clear" w:color="auto" w:fill="FFFFFF"/>
        <w:tabs>
          <w:tab w:val="left" w:pos="567"/>
        </w:tabs>
        <w:spacing w:before="0" w:beforeAutospacing="0" w:after="0" w:afterAutospacing="0"/>
        <w:jc w:val="both"/>
        <w:textAlignment w:val="baseline"/>
        <w:rPr>
          <w:lang w:val="uk-UA"/>
        </w:rPr>
      </w:pPr>
      <w:bookmarkStart w:id="66" w:name="n166"/>
      <w:bookmarkEnd w:id="66"/>
      <w:r>
        <w:rPr>
          <w:rStyle w:val="rvts15"/>
          <w:b/>
          <w:bCs/>
          <w:sz w:val="28"/>
          <w:szCs w:val="28"/>
          <w:bdr w:val="none" w:sz="0" w:space="0" w:color="auto" w:frame="1"/>
          <w:lang w:val="uk-UA"/>
        </w:rPr>
        <w:lastRenderedPageBreak/>
        <w:tab/>
      </w:r>
      <w:r w:rsidR="005E57FB" w:rsidRPr="00407BA3">
        <w:rPr>
          <w:rStyle w:val="rvts15"/>
          <w:b/>
          <w:bCs/>
          <w:sz w:val="28"/>
          <w:szCs w:val="28"/>
          <w:bdr w:val="none" w:sz="0" w:space="0" w:color="auto" w:frame="1"/>
          <w:lang w:val="uk-UA"/>
        </w:rPr>
        <w:t>VII. Обґрунтування запропонованого строку дії регуляторного акта</w:t>
      </w:r>
    </w:p>
    <w:p w:rsidR="008F71A7" w:rsidRPr="00ED116C" w:rsidRDefault="008F71A7" w:rsidP="008F71A7">
      <w:pPr>
        <w:ind w:right="102" w:firstLine="709"/>
        <w:jc w:val="both"/>
        <w:rPr>
          <w:sz w:val="28"/>
          <w:szCs w:val="28"/>
        </w:rPr>
      </w:pPr>
      <w:bookmarkStart w:id="67" w:name="n167"/>
      <w:bookmarkEnd w:id="67"/>
      <w:r w:rsidRPr="00ED116C">
        <w:rPr>
          <w:sz w:val="28"/>
          <w:szCs w:val="28"/>
        </w:rPr>
        <w:t>Строк дії регуляторного акта пропонується не обмежувати в часі. Зміна строку дії регуляторного акта можлива лише у випадку зміни законодавчих актів, які регулюють вказане питання.</w:t>
      </w:r>
    </w:p>
    <w:p w:rsidR="008F71A7" w:rsidRPr="00E65244" w:rsidRDefault="008F71A7" w:rsidP="008F71A7">
      <w:pPr>
        <w:ind w:right="102" w:firstLine="709"/>
        <w:jc w:val="both"/>
        <w:rPr>
          <w:sz w:val="28"/>
          <w:szCs w:val="28"/>
        </w:rPr>
      </w:pPr>
      <w:r w:rsidRPr="00ED116C">
        <w:rPr>
          <w:sz w:val="28"/>
          <w:szCs w:val="28"/>
        </w:rPr>
        <w:t>Цей регуляторний акт набирає чинності з дня його офіційного опублікування.</w:t>
      </w:r>
    </w:p>
    <w:p w:rsidR="00E11622" w:rsidRPr="00407BA3" w:rsidRDefault="00E11622" w:rsidP="007B72D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567"/>
        </w:tabs>
        <w:ind w:right="43" w:firstLine="90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</w:pPr>
    </w:p>
    <w:p w:rsidR="005E57FB" w:rsidRPr="00407BA3" w:rsidRDefault="005E57FB" w:rsidP="008F71A7">
      <w:pPr>
        <w:pStyle w:val="rvps12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bookmarkStart w:id="68" w:name="n168"/>
      <w:bookmarkEnd w:id="68"/>
      <w:r w:rsidRPr="00407BA3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VIII. Визначення показників результативності дії регуляторного акта</w:t>
      </w:r>
    </w:p>
    <w:p w:rsidR="00391DD8" w:rsidRPr="00407BA3" w:rsidRDefault="00391DD8" w:rsidP="007B72DB">
      <w:pPr>
        <w:pStyle w:val="31"/>
        <w:tabs>
          <w:tab w:val="left" w:pos="567"/>
        </w:tabs>
        <w:ind w:firstLine="567"/>
        <w:jc w:val="both"/>
        <w:rPr>
          <w:b w:val="0"/>
          <w:sz w:val="28"/>
          <w:szCs w:val="28"/>
        </w:rPr>
      </w:pPr>
      <w:bookmarkStart w:id="69" w:name="n169"/>
      <w:bookmarkEnd w:id="69"/>
      <w:r w:rsidRPr="00407BA3">
        <w:rPr>
          <w:b w:val="0"/>
          <w:sz w:val="28"/>
          <w:szCs w:val="28"/>
        </w:rPr>
        <w:t>Основними показниками результативності регуляторного акта є:</w:t>
      </w:r>
    </w:p>
    <w:p w:rsidR="00391DD8" w:rsidRPr="00407BA3" w:rsidRDefault="00143A8C" w:rsidP="007B72DB">
      <w:pPr>
        <w:pStyle w:val="2"/>
        <w:tabs>
          <w:tab w:val="left" w:pos="322"/>
          <w:tab w:val="left" w:pos="567"/>
        </w:tabs>
        <w:spacing w:after="0" w:line="240" w:lineRule="auto"/>
        <w:ind w:left="0" w:firstLine="567"/>
        <w:jc w:val="both"/>
        <w:rPr>
          <w:szCs w:val="28"/>
        </w:rPr>
      </w:pPr>
      <w:r w:rsidRPr="00407BA3">
        <w:rPr>
          <w:szCs w:val="28"/>
        </w:rPr>
        <w:t>1</w:t>
      </w:r>
      <w:r w:rsidR="00391DD8" w:rsidRPr="00407BA3">
        <w:rPr>
          <w:szCs w:val="28"/>
        </w:rPr>
        <w:t xml:space="preserve">. Кількість </w:t>
      </w:r>
      <w:r w:rsidR="00B107AD">
        <w:rPr>
          <w:szCs w:val="28"/>
        </w:rPr>
        <w:t xml:space="preserve">функціональних органів у сфері захисту критичної інфраструктури, </w:t>
      </w:r>
      <w:r w:rsidR="002A59E6" w:rsidRPr="00407BA3">
        <w:rPr>
          <w:szCs w:val="28"/>
        </w:rPr>
        <w:t xml:space="preserve">операторів критичної </w:t>
      </w:r>
      <w:r w:rsidRPr="00407BA3">
        <w:rPr>
          <w:szCs w:val="28"/>
        </w:rPr>
        <w:t>інфраструктури</w:t>
      </w:r>
      <w:r w:rsidR="00391DD8" w:rsidRPr="00407BA3">
        <w:rPr>
          <w:szCs w:val="28"/>
        </w:rPr>
        <w:t>, на яких поширюється дія акта.</w:t>
      </w:r>
    </w:p>
    <w:p w:rsidR="00391DD8" w:rsidRPr="00407BA3" w:rsidRDefault="00B107AD" w:rsidP="007B72DB">
      <w:pPr>
        <w:pStyle w:val="2"/>
        <w:tabs>
          <w:tab w:val="left" w:pos="322"/>
          <w:tab w:val="left" w:pos="567"/>
        </w:tabs>
        <w:spacing w:after="0" w:line="240" w:lineRule="auto"/>
        <w:ind w:left="0" w:firstLine="567"/>
        <w:jc w:val="both"/>
        <w:rPr>
          <w:szCs w:val="28"/>
        </w:rPr>
      </w:pPr>
      <w:r>
        <w:rPr>
          <w:rStyle w:val="rvts52"/>
          <w:szCs w:val="28"/>
        </w:rPr>
        <w:t>2</w:t>
      </w:r>
      <w:r w:rsidR="00391DD8" w:rsidRPr="00407BA3">
        <w:rPr>
          <w:rStyle w:val="rvts52"/>
          <w:szCs w:val="28"/>
        </w:rPr>
        <w:t>.</w:t>
      </w:r>
      <w:r w:rsidR="00391DD8" w:rsidRPr="00407BA3">
        <w:rPr>
          <w:szCs w:val="28"/>
        </w:rPr>
        <w:t xml:space="preserve"> Рівень поінформованості </w:t>
      </w:r>
      <w:r>
        <w:rPr>
          <w:szCs w:val="28"/>
        </w:rPr>
        <w:t>функціональних органів у сфері захисту критичної інфраструктури</w:t>
      </w:r>
      <w:r>
        <w:rPr>
          <w:szCs w:val="28"/>
        </w:rPr>
        <w:t xml:space="preserve"> та операторів критичної інфраструктури</w:t>
      </w:r>
      <w:r w:rsidR="00391DD8" w:rsidRPr="00407BA3">
        <w:rPr>
          <w:szCs w:val="28"/>
        </w:rPr>
        <w:t xml:space="preserve"> стосовно основних положень регуляторного акта − високий, оскільки проєкт нак</w:t>
      </w:r>
      <w:r w:rsidR="008F71A7">
        <w:rPr>
          <w:szCs w:val="28"/>
        </w:rPr>
        <w:t xml:space="preserve">азу розміщено на </w:t>
      </w:r>
      <w:r w:rsidR="008F71A7" w:rsidRPr="00ED116C">
        <w:rPr>
          <w:szCs w:val="28"/>
        </w:rPr>
        <w:t xml:space="preserve">офіційному </w:t>
      </w:r>
      <w:proofErr w:type="spellStart"/>
      <w:r w:rsidR="008F71A7" w:rsidRPr="00ED116C">
        <w:rPr>
          <w:szCs w:val="28"/>
        </w:rPr>
        <w:t>веб</w:t>
      </w:r>
      <w:r w:rsidR="00391DD8" w:rsidRPr="00ED116C">
        <w:rPr>
          <w:szCs w:val="28"/>
        </w:rPr>
        <w:t>сайті</w:t>
      </w:r>
      <w:proofErr w:type="spellEnd"/>
      <w:r w:rsidR="00391DD8" w:rsidRPr="00ED116C">
        <w:rPr>
          <w:szCs w:val="28"/>
        </w:rPr>
        <w:t xml:space="preserve"> </w:t>
      </w:r>
      <w:r w:rsidR="00143A8C" w:rsidRPr="00ED116C">
        <w:rPr>
          <w:szCs w:val="28"/>
        </w:rPr>
        <w:t>Мінрозвитку</w:t>
      </w:r>
      <w:r w:rsidR="00391DD8" w:rsidRPr="00ED116C">
        <w:rPr>
          <w:szCs w:val="28"/>
        </w:rPr>
        <w:t>.</w:t>
      </w:r>
    </w:p>
    <w:p w:rsidR="00D330DC" w:rsidRPr="00407BA3" w:rsidRDefault="00B107AD" w:rsidP="007B72DB">
      <w:pPr>
        <w:pStyle w:val="2"/>
        <w:tabs>
          <w:tab w:val="left" w:pos="322"/>
          <w:tab w:val="left" w:pos="567"/>
        </w:tabs>
        <w:spacing w:after="0" w:line="240" w:lineRule="auto"/>
        <w:ind w:left="0" w:firstLine="567"/>
        <w:jc w:val="both"/>
        <w:rPr>
          <w:szCs w:val="28"/>
        </w:rPr>
      </w:pPr>
      <w:r>
        <w:rPr>
          <w:szCs w:val="28"/>
        </w:rPr>
        <w:t>3</w:t>
      </w:r>
      <w:r w:rsidR="00D330DC" w:rsidRPr="00407BA3">
        <w:rPr>
          <w:szCs w:val="28"/>
        </w:rPr>
        <w:t>.</w:t>
      </w:r>
      <w:r w:rsidR="00693744" w:rsidRPr="00407BA3">
        <w:rPr>
          <w:szCs w:val="28"/>
        </w:rPr>
        <w:t xml:space="preserve"> Кількість </w:t>
      </w:r>
      <w:r w:rsidR="00143A8C" w:rsidRPr="00407BA3">
        <w:rPr>
          <w:szCs w:val="28"/>
        </w:rPr>
        <w:t>кризових ситуацій на</w:t>
      </w:r>
      <w:r w:rsidR="00693744" w:rsidRPr="00407BA3">
        <w:rPr>
          <w:szCs w:val="28"/>
        </w:rPr>
        <w:t xml:space="preserve"> </w:t>
      </w:r>
      <w:r w:rsidR="00143A8C" w:rsidRPr="00407BA3">
        <w:rPr>
          <w:szCs w:val="28"/>
        </w:rPr>
        <w:t>об’єктах критичної інфраструктури</w:t>
      </w:r>
      <w:r w:rsidR="00143A8C" w:rsidRPr="00407BA3">
        <w:t xml:space="preserve"> та проявів несанкціонованого втручання в їх функціонування</w:t>
      </w:r>
      <w:r w:rsidR="00D330DC" w:rsidRPr="00407BA3">
        <w:rPr>
          <w:szCs w:val="28"/>
        </w:rPr>
        <w:t>.</w:t>
      </w:r>
    </w:p>
    <w:p w:rsidR="00D330DC" w:rsidRPr="00407BA3" w:rsidRDefault="00693744" w:rsidP="007B72DB">
      <w:pPr>
        <w:tabs>
          <w:tab w:val="left" w:pos="322"/>
          <w:tab w:val="left" w:pos="567"/>
        </w:tabs>
        <w:ind w:firstLine="567"/>
        <w:jc w:val="both"/>
        <w:rPr>
          <w:sz w:val="28"/>
          <w:szCs w:val="28"/>
        </w:rPr>
      </w:pPr>
      <w:r w:rsidRPr="00407BA3">
        <w:rPr>
          <w:sz w:val="28"/>
          <w:szCs w:val="28"/>
        </w:rPr>
        <w:t>Кількісні значення додаткових показників результативності буде визначено статистичним методом під час проведення базового відстеження.</w:t>
      </w:r>
    </w:p>
    <w:p w:rsidR="00E11622" w:rsidRPr="00407BA3" w:rsidRDefault="00376D3C" w:rsidP="007B72DB">
      <w:pPr>
        <w:pStyle w:val="2"/>
        <w:tabs>
          <w:tab w:val="left" w:pos="322"/>
          <w:tab w:val="left" w:pos="6180"/>
        </w:tabs>
        <w:spacing w:after="0" w:line="240" w:lineRule="auto"/>
        <w:ind w:left="0" w:firstLine="900"/>
        <w:jc w:val="both"/>
        <w:rPr>
          <w:rStyle w:val="rvts52"/>
          <w:color w:val="000000"/>
          <w:szCs w:val="28"/>
        </w:rPr>
      </w:pPr>
      <w:r w:rsidRPr="00407BA3">
        <w:rPr>
          <w:rStyle w:val="rvts52"/>
          <w:color w:val="000000"/>
          <w:szCs w:val="28"/>
        </w:rPr>
        <w:tab/>
      </w:r>
    </w:p>
    <w:p w:rsidR="005E57FB" w:rsidRPr="00407BA3" w:rsidRDefault="005E57FB" w:rsidP="00ED116C">
      <w:pPr>
        <w:pStyle w:val="rvps1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lang w:val="uk-UA"/>
        </w:rPr>
      </w:pPr>
      <w:bookmarkStart w:id="70" w:name="n170"/>
      <w:bookmarkEnd w:id="70"/>
      <w:r w:rsidRPr="00407BA3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IX. Визначення заходів, за допомогою яких</w:t>
      </w:r>
      <w:r w:rsidRPr="00407BA3">
        <w:rPr>
          <w:rStyle w:val="rvts15"/>
          <w:b/>
          <w:bCs/>
          <w:sz w:val="28"/>
          <w:szCs w:val="28"/>
          <w:bdr w:val="none" w:sz="0" w:space="0" w:color="auto" w:frame="1"/>
          <w:lang w:val="uk-UA"/>
        </w:rPr>
        <w:t xml:space="preserve"> здійснюватиметься</w:t>
      </w:r>
      <w:r w:rsidR="005F6F56" w:rsidRPr="00407BA3">
        <w:rPr>
          <w:rStyle w:val="rvts15"/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407BA3">
        <w:rPr>
          <w:rStyle w:val="rvts15"/>
          <w:b/>
          <w:bCs/>
          <w:sz w:val="28"/>
          <w:szCs w:val="28"/>
          <w:bdr w:val="none" w:sz="0" w:space="0" w:color="auto" w:frame="1"/>
          <w:lang w:val="uk-UA"/>
        </w:rPr>
        <w:t>відстеження результативності дії регуляторного акта</w:t>
      </w:r>
    </w:p>
    <w:p w:rsidR="006540E9" w:rsidRPr="00930E11" w:rsidRDefault="006540E9" w:rsidP="006540E9">
      <w:pPr>
        <w:ind w:firstLine="708"/>
        <w:jc w:val="both"/>
        <w:rPr>
          <w:sz w:val="28"/>
          <w:szCs w:val="28"/>
        </w:rPr>
      </w:pPr>
      <w:bookmarkStart w:id="71" w:name="n171"/>
      <w:bookmarkStart w:id="72" w:name="n172"/>
      <w:bookmarkEnd w:id="71"/>
      <w:bookmarkEnd w:id="72"/>
      <w:r w:rsidRPr="00930E11">
        <w:rPr>
          <w:sz w:val="28"/>
          <w:szCs w:val="28"/>
        </w:rPr>
        <w:t>Строки проведення базового та повторного відстеження результативності дії регуляторного акта:</w:t>
      </w:r>
    </w:p>
    <w:p w:rsidR="006540E9" w:rsidRPr="00930E11" w:rsidRDefault="006540E9" w:rsidP="006540E9">
      <w:pPr>
        <w:ind w:firstLine="708"/>
        <w:jc w:val="both"/>
        <w:rPr>
          <w:sz w:val="28"/>
          <w:szCs w:val="28"/>
        </w:rPr>
      </w:pPr>
      <w:r w:rsidRPr="00930E11">
        <w:rPr>
          <w:sz w:val="28"/>
          <w:szCs w:val="28"/>
        </w:rPr>
        <w:t>базове відстеження результативності акта здійснюватиметься після набрання чинності актом, але не пізніше дня, з якого починається проведення повторного відстеження результативності цього акта;</w:t>
      </w:r>
    </w:p>
    <w:p w:rsidR="006540E9" w:rsidRPr="00930E11" w:rsidRDefault="006540E9" w:rsidP="006540E9">
      <w:pPr>
        <w:ind w:firstLine="708"/>
        <w:jc w:val="both"/>
        <w:rPr>
          <w:sz w:val="28"/>
          <w:szCs w:val="28"/>
        </w:rPr>
      </w:pPr>
      <w:r w:rsidRPr="00930E11">
        <w:rPr>
          <w:sz w:val="28"/>
          <w:szCs w:val="28"/>
        </w:rPr>
        <w:t xml:space="preserve">повторне відстеження результативності акта здійснюватиметься через рік з дня набрання чинності регуляторним актом, але не пізніше двох років з дня набрання чинності регуляторним актом, шляхом аналізу звітності про стан </w:t>
      </w:r>
      <w:r w:rsidR="00ED116C">
        <w:rPr>
          <w:sz w:val="28"/>
          <w:szCs w:val="28"/>
        </w:rPr>
        <w:t>об’єктів критичної інфраструктури</w:t>
      </w:r>
      <w:r w:rsidRPr="00930E11">
        <w:rPr>
          <w:sz w:val="28"/>
          <w:szCs w:val="28"/>
        </w:rPr>
        <w:t xml:space="preserve">; </w:t>
      </w:r>
    </w:p>
    <w:p w:rsidR="006540E9" w:rsidRPr="00930E11" w:rsidRDefault="006540E9" w:rsidP="006540E9">
      <w:pPr>
        <w:ind w:firstLine="708"/>
        <w:jc w:val="both"/>
        <w:rPr>
          <w:sz w:val="28"/>
          <w:szCs w:val="28"/>
        </w:rPr>
      </w:pPr>
      <w:r w:rsidRPr="00930E11">
        <w:rPr>
          <w:sz w:val="28"/>
          <w:szCs w:val="28"/>
        </w:rPr>
        <w:t>періодичне відстеження результативності акта здійснюватиметься раз на три роки починаючи з дня закінчення заходів з повторного відстеження результативності акта шляхом порівняння показників із аналогічними показниками, що встановлені під час повторного відстеження.</w:t>
      </w:r>
    </w:p>
    <w:p w:rsidR="006540E9" w:rsidRPr="00930E11" w:rsidRDefault="006540E9" w:rsidP="006540E9">
      <w:pPr>
        <w:ind w:firstLine="708"/>
        <w:jc w:val="both"/>
        <w:rPr>
          <w:sz w:val="28"/>
          <w:szCs w:val="28"/>
        </w:rPr>
      </w:pPr>
      <w:r w:rsidRPr="00930E11">
        <w:rPr>
          <w:sz w:val="28"/>
          <w:szCs w:val="28"/>
        </w:rPr>
        <w:t>Метод проведення відстеження результативності: статистичний.</w:t>
      </w:r>
    </w:p>
    <w:p w:rsidR="006540E9" w:rsidRPr="00930E11" w:rsidRDefault="006540E9" w:rsidP="006540E9">
      <w:pPr>
        <w:ind w:firstLine="708"/>
        <w:jc w:val="both"/>
        <w:rPr>
          <w:sz w:val="28"/>
          <w:szCs w:val="28"/>
        </w:rPr>
      </w:pPr>
      <w:r w:rsidRPr="00930E11">
        <w:rPr>
          <w:sz w:val="28"/>
          <w:szCs w:val="28"/>
        </w:rPr>
        <w:t>Вид даних, за допомогою яких здійснюватиметься відстеження результативності: відстеження результативності регуляторного акта буде здійснюватися Міністерств</w:t>
      </w:r>
      <w:r>
        <w:rPr>
          <w:sz w:val="28"/>
          <w:szCs w:val="28"/>
        </w:rPr>
        <w:t>ом</w:t>
      </w:r>
      <w:r w:rsidRPr="00930E11">
        <w:rPr>
          <w:sz w:val="28"/>
          <w:szCs w:val="28"/>
        </w:rPr>
        <w:t xml:space="preserve"> розвитку громад та територій</w:t>
      </w:r>
      <w:r>
        <w:rPr>
          <w:sz w:val="28"/>
          <w:szCs w:val="28"/>
        </w:rPr>
        <w:t xml:space="preserve"> України</w:t>
      </w:r>
      <w:r w:rsidRPr="00930E11">
        <w:rPr>
          <w:sz w:val="28"/>
          <w:szCs w:val="28"/>
        </w:rPr>
        <w:t xml:space="preserve"> шляхом обробки інформації, отриманої від обласних та Київської міської державних </w:t>
      </w:r>
      <w:r w:rsidRPr="00930E11">
        <w:rPr>
          <w:sz w:val="28"/>
          <w:szCs w:val="28"/>
        </w:rPr>
        <w:lastRenderedPageBreak/>
        <w:t>адміністрацій</w:t>
      </w:r>
      <w:r w:rsidR="0071249A">
        <w:rPr>
          <w:sz w:val="28"/>
          <w:szCs w:val="28"/>
        </w:rPr>
        <w:t xml:space="preserve"> та операторів критичної інфраструктури</w:t>
      </w:r>
      <w:r w:rsidRPr="00930E11">
        <w:rPr>
          <w:sz w:val="28"/>
          <w:szCs w:val="28"/>
        </w:rPr>
        <w:t xml:space="preserve">, щодо питань у сфері </w:t>
      </w:r>
      <w:r w:rsidR="0071249A">
        <w:rPr>
          <w:sz w:val="28"/>
          <w:szCs w:val="28"/>
        </w:rPr>
        <w:t>захисту об’єктів критичної інфраструктури</w:t>
      </w:r>
      <w:r w:rsidRPr="00930E11">
        <w:rPr>
          <w:sz w:val="28"/>
          <w:szCs w:val="28"/>
        </w:rPr>
        <w:t>.</w:t>
      </w:r>
    </w:p>
    <w:p w:rsidR="00196748" w:rsidRDefault="006540E9" w:rsidP="006540E9">
      <w:pPr>
        <w:ind w:firstLine="567"/>
        <w:jc w:val="both"/>
        <w:rPr>
          <w:sz w:val="28"/>
          <w:szCs w:val="28"/>
        </w:rPr>
      </w:pPr>
      <w:r w:rsidRPr="00930E11">
        <w:rPr>
          <w:sz w:val="28"/>
          <w:szCs w:val="28"/>
        </w:rPr>
        <w:t>Цільові групи осіб, що обиратимуться для участі у відповідному опитуванні, чи наукові установи, що залучатимуться для проведення відстеження: відстеження буде проводитись співробітниками Міністерства розвитку громад та територій</w:t>
      </w:r>
      <w:r>
        <w:rPr>
          <w:sz w:val="28"/>
          <w:szCs w:val="28"/>
        </w:rPr>
        <w:t xml:space="preserve"> України</w:t>
      </w:r>
      <w:r w:rsidRPr="00930E11">
        <w:rPr>
          <w:sz w:val="28"/>
          <w:szCs w:val="28"/>
        </w:rPr>
        <w:t xml:space="preserve">, для чого будуть детально вивчатися </w:t>
      </w:r>
      <w:r w:rsidR="00B107AD">
        <w:rPr>
          <w:sz w:val="28"/>
          <w:szCs w:val="28"/>
        </w:rPr>
        <w:t>наслідки кризових ситуацій та стан взаємодії</w:t>
      </w:r>
      <w:r w:rsidR="00B107AD" w:rsidRPr="00B107AD">
        <w:rPr>
          <w:sz w:val="28"/>
          <w:szCs w:val="28"/>
        </w:rPr>
        <w:t xml:space="preserve"> </w:t>
      </w:r>
      <w:r w:rsidR="00B107AD">
        <w:rPr>
          <w:sz w:val="28"/>
          <w:szCs w:val="28"/>
        </w:rPr>
        <w:t>функціональн</w:t>
      </w:r>
      <w:r w:rsidR="00B107AD">
        <w:rPr>
          <w:sz w:val="28"/>
          <w:szCs w:val="28"/>
        </w:rPr>
        <w:t>их</w:t>
      </w:r>
      <w:r w:rsidR="00B107AD">
        <w:rPr>
          <w:sz w:val="28"/>
          <w:szCs w:val="28"/>
        </w:rPr>
        <w:t xml:space="preserve"> орган</w:t>
      </w:r>
      <w:r w:rsidR="00B107AD">
        <w:rPr>
          <w:sz w:val="28"/>
          <w:szCs w:val="28"/>
        </w:rPr>
        <w:t>ів</w:t>
      </w:r>
      <w:r w:rsidR="00B107AD">
        <w:rPr>
          <w:sz w:val="28"/>
          <w:szCs w:val="28"/>
        </w:rPr>
        <w:t xml:space="preserve"> у сфері захисту критичної </w:t>
      </w:r>
      <w:r w:rsidR="00B107AD" w:rsidRPr="00B107AD">
        <w:rPr>
          <w:sz w:val="28"/>
          <w:szCs w:val="28"/>
        </w:rPr>
        <w:t>інфраструктури, які забезпечують взаємодію для всіх режимів функціонування критичної інфраструктури (штатний режим, режим готовності та запобігання реалізації загроз, режим реагування на виникнення кризової ситуації, режим відновлення штатного режиму)</w:t>
      </w:r>
      <w:r w:rsidRPr="00930E11">
        <w:rPr>
          <w:sz w:val="28"/>
          <w:szCs w:val="28"/>
        </w:rPr>
        <w:t>.</w:t>
      </w:r>
    </w:p>
    <w:p w:rsidR="00ED116C" w:rsidRPr="00407BA3" w:rsidRDefault="00ED116C" w:rsidP="006540E9">
      <w:pPr>
        <w:ind w:firstLine="567"/>
        <w:jc w:val="both"/>
        <w:rPr>
          <w:szCs w:val="28"/>
        </w:rPr>
      </w:pPr>
    </w:p>
    <w:p w:rsidR="00095F4C" w:rsidRPr="00407BA3" w:rsidRDefault="00095F4C" w:rsidP="007B72DB">
      <w:pPr>
        <w:ind w:firstLine="567"/>
        <w:jc w:val="both"/>
        <w:rPr>
          <w:szCs w:val="28"/>
        </w:rPr>
      </w:pPr>
      <w:bookmarkStart w:id="73" w:name="_GoBack"/>
      <w:bookmarkEnd w:id="73"/>
    </w:p>
    <w:p w:rsidR="00143A8C" w:rsidRPr="00407BA3" w:rsidRDefault="00143A8C" w:rsidP="007B72D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407BA3">
        <w:rPr>
          <w:color w:val="000000"/>
          <w:sz w:val="28"/>
          <w:szCs w:val="28"/>
          <w:lang w:val="uk-UA"/>
        </w:rPr>
        <w:t xml:space="preserve">Віце-прем’єр-міністр з відновлення </w:t>
      </w:r>
    </w:p>
    <w:p w:rsidR="00143A8C" w:rsidRPr="00407BA3" w:rsidRDefault="00143A8C" w:rsidP="007B72D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407BA3">
        <w:rPr>
          <w:color w:val="000000"/>
          <w:sz w:val="28"/>
          <w:szCs w:val="28"/>
          <w:lang w:val="uk-UA"/>
        </w:rPr>
        <w:t xml:space="preserve">України – Міністр розвитку громад </w:t>
      </w:r>
    </w:p>
    <w:p w:rsidR="00143A8C" w:rsidRPr="00407BA3" w:rsidRDefault="00143A8C" w:rsidP="007B72DB">
      <w:pPr>
        <w:pStyle w:val="a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07BA3">
        <w:rPr>
          <w:color w:val="000000"/>
          <w:sz w:val="28"/>
          <w:szCs w:val="28"/>
          <w:lang w:val="uk-UA"/>
        </w:rPr>
        <w:t>та територій України</w:t>
      </w:r>
      <w:r w:rsidRPr="00407BA3">
        <w:rPr>
          <w:color w:val="000000"/>
          <w:sz w:val="28"/>
          <w:szCs w:val="28"/>
          <w:lang w:val="uk-UA"/>
        </w:rPr>
        <w:tab/>
      </w:r>
      <w:r w:rsidRPr="00407BA3">
        <w:rPr>
          <w:color w:val="000000"/>
          <w:sz w:val="28"/>
          <w:szCs w:val="28"/>
          <w:lang w:val="uk-UA"/>
        </w:rPr>
        <w:tab/>
      </w:r>
      <w:r w:rsidRPr="00407BA3">
        <w:rPr>
          <w:color w:val="000000"/>
          <w:sz w:val="28"/>
          <w:szCs w:val="28"/>
          <w:lang w:val="uk-UA"/>
        </w:rPr>
        <w:tab/>
      </w:r>
      <w:r w:rsidRPr="00407BA3">
        <w:rPr>
          <w:color w:val="000000"/>
          <w:sz w:val="28"/>
          <w:szCs w:val="28"/>
          <w:lang w:val="uk-UA"/>
        </w:rPr>
        <w:tab/>
      </w:r>
      <w:r w:rsidRPr="00407BA3">
        <w:rPr>
          <w:color w:val="000000"/>
          <w:sz w:val="28"/>
          <w:szCs w:val="28"/>
          <w:lang w:val="uk-UA"/>
        </w:rPr>
        <w:tab/>
        <w:t xml:space="preserve">    </w:t>
      </w:r>
      <w:r w:rsidRPr="00407BA3">
        <w:rPr>
          <w:color w:val="000000"/>
          <w:sz w:val="28"/>
          <w:szCs w:val="28"/>
          <w:lang w:val="uk-UA"/>
        </w:rPr>
        <w:tab/>
        <w:t xml:space="preserve">                Олексій КУЛЕБА</w:t>
      </w:r>
    </w:p>
    <w:p w:rsidR="00C179C6" w:rsidRPr="00407BA3" w:rsidRDefault="00C179C6" w:rsidP="007B72DB">
      <w:pPr>
        <w:rPr>
          <w:sz w:val="28"/>
          <w:szCs w:val="28"/>
        </w:rPr>
      </w:pPr>
    </w:p>
    <w:p w:rsidR="00836C91" w:rsidRPr="00407BA3" w:rsidRDefault="00C179C6" w:rsidP="007B72DB">
      <w:r w:rsidRPr="00407BA3">
        <w:t>«___» ____________ 2025 р.</w:t>
      </w:r>
    </w:p>
    <w:sectPr w:rsidR="00836C91" w:rsidRPr="00407BA3" w:rsidSect="00ED116C">
      <w:headerReference w:type="even" r:id="rId8"/>
      <w:headerReference w:type="default" r:id="rId9"/>
      <w:pgSz w:w="11906" w:h="16838" w:code="9"/>
      <w:pgMar w:top="1134" w:right="567" w:bottom="1985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765" w:rsidRDefault="007F7765">
      <w:r>
        <w:separator/>
      </w:r>
    </w:p>
  </w:endnote>
  <w:endnote w:type="continuationSeparator" w:id="0">
    <w:p w:rsidR="007F7765" w:rsidRDefault="007F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ohit Devanagari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765" w:rsidRDefault="007F7765">
      <w:r>
        <w:separator/>
      </w:r>
    </w:p>
  </w:footnote>
  <w:footnote w:type="continuationSeparator" w:id="0">
    <w:p w:rsidR="007F7765" w:rsidRDefault="007F7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8F" w:rsidRDefault="0077088F" w:rsidP="004A706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7088F" w:rsidRDefault="0077088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88F" w:rsidRDefault="0077088F" w:rsidP="004A7061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107AD">
      <w:rPr>
        <w:rStyle w:val="ab"/>
        <w:noProof/>
      </w:rPr>
      <w:t>14</w:t>
    </w:r>
    <w:r>
      <w:rPr>
        <w:rStyle w:val="ab"/>
      </w:rPr>
      <w:fldChar w:fldCharType="end"/>
    </w:r>
  </w:p>
  <w:p w:rsidR="0077088F" w:rsidRDefault="0077088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F892ABD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color w:val="000000"/>
        <w:sz w:val="28"/>
        <w:szCs w:val="28"/>
        <w:lang w:val="uk-UA"/>
      </w:rPr>
    </w:lvl>
  </w:abstractNum>
  <w:abstractNum w:abstractNumId="1" w15:restartNumberingAfterBreak="0">
    <w:nsid w:val="0CBB0560"/>
    <w:multiLevelType w:val="hybridMultilevel"/>
    <w:tmpl w:val="772C3C44"/>
    <w:lvl w:ilvl="0" w:tplc="A6DCB38C">
      <w:start w:val="6"/>
      <w:numFmt w:val="bullet"/>
      <w:lvlText w:val="-"/>
      <w:lvlJc w:val="left"/>
      <w:pPr>
        <w:ind w:left="50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DF21D0A"/>
    <w:multiLevelType w:val="hybridMultilevel"/>
    <w:tmpl w:val="CFC0B656"/>
    <w:lvl w:ilvl="0" w:tplc="870672D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4363735"/>
    <w:multiLevelType w:val="hybridMultilevel"/>
    <w:tmpl w:val="F036E974"/>
    <w:lvl w:ilvl="0" w:tplc="F3189B6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A952BB4"/>
    <w:multiLevelType w:val="hybridMultilevel"/>
    <w:tmpl w:val="B8ECC852"/>
    <w:lvl w:ilvl="0" w:tplc="063A54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786A87"/>
    <w:multiLevelType w:val="hybridMultilevel"/>
    <w:tmpl w:val="E95C2DB8"/>
    <w:lvl w:ilvl="0" w:tplc="05B8B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E779B"/>
    <w:multiLevelType w:val="hybridMultilevel"/>
    <w:tmpl w:val="B1269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46CC3C">
      <w:start w:val="3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FB"/>
    <w:rsid w:val="0001051D"/>
    <w:rsid w:val="000131EF"/>
    <w:rsid w:val="00014695"/>
    <w:rsid w:val="0001510B"/>
    <w:rsid w:val="00023987"/>
    <w:rsid w:val="00023CE5"/>
    <w:rsid w:val="0002469A"/>
    <w:rsid w:val="0002720E"/>
    <w:rsid w:val="00030710"/>
    <w:rsid w:val="00035078"/>
    <w:rsid w:val="0004213B"/>
    <w:rsid w:val="0004312F"/>
    <w:rsid w:val="0005171C"/>
    <w:rsid w:val="000533F4"/>
    <w:rsid w:val="00055F3C"/>
    <w:rsid w:val="00056E69"/>
    <w:rsid w:val="00066751"/>
    <w:rsid w:val="00077009"/>
    <w:rsid w:val="00077FE2"/>
    <w:rsid w:val="00086E34"/>
    <w:rsid w:val="00087D50"/>
    <w:rsid w:val="00093826"/>
    <w:rsid w:val="000948E5"/>
    <w:rsid w:val="00095133"/>
    <w:rsid w:val="000952FD"/>
    <w:rsid w:val="00095F4C"/>
    <w:rsid w:val="000962EA"/>
    <w:rsid w:val="0009711A"/>
    <w:rsid w:val="000A04FF"/>
    <w:rsid w:val="000A0816"/>
    <w:rsid w:val="000B2F07"/>
    <w:rsid w:val="000B3CEF"/>
    <w:rsid w:val="000B6C3E"/>
    <w:rsid w:val="000C0B29"/>
    <w:rsid w:val="000C0BB7"/>
    <w:rsid w:val="000C3E89"/>
    <w:rsid w:val="000C5BD4"/>
    <w:rsid w:val="000C6893"/>
    <w:rsid w:val="000D53AB"/>
    <w:rsid w:val="000D7122"/>
    <w:rsid w:val="000E0366"/>
    <w:rsid w:val="000E1CA1"/>
    <w:rsid w:val="000E23EA"/>
    <w:rsid w:val="000E5937"/>
    <w:rsid w:val="000E64A4"/>
    <w:rsid w:val="000E71FA"/>
    <w:rsid w:val="000F0F24"/>
    <w:rsid w:val="000F3A09"/>
    <w:rsid w:val="000F3EDC"/>
    <w:rsid w:val="000F3F26"/>
    <w:rsid w:val="000F59B5"/>
    <w:rsid w:val="00102D9E"/>
    <w:rsid w:val="00102E09"/>
    <w:rsid w:val="00103D01"/>
    <w:rsid w:val="00110A95"/>
    <w:rsid w:val="00122249"/>
    <w:rsid w:val="00123888"/>
    <w:rsid w:val="001243D9"/>
    <w:rsid w:val="00132EB3"/>
    <w:rsid w:val="001342E6"/>
    <w:rsid w:val="00134BAB"/>
    <w:rsid w:val="001356DF"/>
    <w:rsid w:val="001377BA"/>
    <w:rsid w:val="00137E6B"/>
    <w:rsid w:val="001427A3"/>
    <w:rsid w:val="00142A16"/>
    <w:rsid w:val="0014323F"/>
    <w:rsid w:val="00143A8C"/>
    <w:rsid w:val="0014402F"/>
    <w:rsid w:val="001442D1"/>
    <w:rsid w:val="001472D0"/>
    <w:rsid w:val="00147A54"/>
    <w:rsid w:val="00152AAD"/>
    <w:rsid w:val="00157479"/>
    <w:rsid w:val="00161870"/>
    <w:rsid w:val="00161EFB"/>
    <w:rsid w:val="0016401C"/>
    <w:rsid w:val="00171857"/>
    <w:rsid w:val="00172A3F"/>
    <w:rsid w:val="00173C6F"/>
    <w:rsid w:val="0017406E"/>
    <w:rsid w:val="001779A1"/>
    <w:rsid w:val="00181FB9"/>
    <w:rsid w:val="00183392"/>
    <w:rsid w:val="00184BE7"/>
    <w:rsid w:val="001902F3"/>
    <w:rsid w:val="00194446"/>
    <w:rsid w:val="00195047"/>
    <w:rsid w:val="00196748"/>
    <w:rsid w:val="001A185B"/>
    <w:rsid w:val="001A326B"/>
    <w:rsid w:val="001A5323"/>
    <w:rsid w:val="001A55C4"/>
    <w:rsid w:val="001A614B"/>
    <w:rsid w:val="001B0556"/>
    <w:rsid w:val="001B066E"/>
    <w:rsid w:val="001B09E4"/>
    <w:rsid w:val="001B0AB7"/>
    <w:rsid w:val="001B3284"/>
    <w:rsid w:val="001B5E5E"/>
    <w:rsid w:val="001C0766"/>
    <w:rsid w:val="001C35D9"/>
    <w:rsid w:val="001C707F"/>
    <w:rsid w:val="001C75BF"/>
    <w:rsid w:val="001D1A0F"/>
    <w:rsid w:val="001D76F7"/>
    <w:rsid w:val="001E05C4"/>
    <w:rsid w:val="001E451E"/>
    <w:rsid w:val="001F5CB4"/>
    <w:rsid w:val="00205934"/>
    <w:rsid w:val="00210637"/>
    <w:rsid w:val="002109F8"/>
    <w:rsid w:val="00210F4F"/>
    <w:rsid w:val="002116EA"/>
    <w:rsid w:val="00212AC7"/>
    <w:rsid w:val="00212CF1"/>
    <w:rsid w:val="00212D9B"/>
    <w:rsid w:val="002224DB"/>
    <w:rsid w:val="0022586F"/>
    <w:rsid w:val="002262AF"/>
    <w:rsid w:val="002264ED"/>
    <w:rsid w:val="00226DA6"/>
    <w:rsid w:val="00234871"/>
    <w:rsid w:val="0023778A"/>
    <w:rsid w:val="002408E4"/>
    <w:rsid w:val="002442D8"/>
    <w:rsid w:val="0024699A"/>
    <w:rsid w:val="00260DB9"/>
    <w:rsid w:val="00263798"/>
    <w:rsid w:val="00264BC6"/>
    <w:rsid w:val="00264DA4"/>
    <w:rsid w:val="00265258"/>
    <w:rsid w:val="00265CDC"/>
    <w:rsid w:val="00267760"/>
    <w:rsid w:val="002763CD"/>
    <w:rsid w:val="00281EDC"/>
    <w:rsid w:val="00281F2D"/>
    <w:rsid w:val="00283109"/>
    <w:rsid w:val="002875FE"/>
    <w:rsid w:val="0029206C"/>
    <w:rsid w:val="0029355F"/>
    <w:rsid w:val="002942BE"/>
    <w:rsid w:val="002A1640"/>
    <w:rsid w:val="002A5332"/>
    <w:rsid w:val="002A59E6"/>
    <w:rsid w:val="002A726A"/>
    <w:rsid w:val="002B0982"/>
    <w:rsid w:val="002B51F9"/>
    <w:rsid w:val="002B60F1"/>
    <w:rsid w:val="002C118E"/>
    <w:rsid w:val="002C1730"/>
    <w:rsid w:val="002C2C53"/>
    <w:rsid w:val="002C493E"/>
    <w:rsid w:val="002C526C"/>
    <w:rsid w:val="002C7258"/>
    <w:rsid w:val="002D0E75"/>
    <w:rsid w:val="002D4806"/>
    <w:rsid w:val="002D78DF"/>
    <w:rsid w:val="002E1F71"/>
    <w:rsid w:val="002E2D0E"/>
    <w:rsid w:val="002E3A23"/>
    <w:rsid w:val="002E49AF"/>
    <w:rsid w:val="002E51AB"/>
    <w:rsid w:val="002F0A07"/>
    <w:rsid w:val="002F1F2C"/>
    <w:rsid w:val="002F4868"/>
    <w:rsid w:val="002F7BAF"/>
    <w:rsid w:val="00300468"/>
    <w:rsid w:val="00300E73"/>
    <w:rsid w:val="003040E3"/>
    <w:rsid w:val="00307C3E"/>
    <w:rsid w:val="003106C0"/>
    <w:rsid w:val="00310E84"/>
    <w:rsid w:val="00321BC0"/>
    <w:rsid w:val="0032511A"/>
    <w:rsid w:val="003304BC"/>
    <w:rsid w:val="0033207B"/>
    <w:rsid w:val="00332208"/>
    <w:rsid w:val="00340BD4"/>
    <w:rsid w:val="0034458A"/>
    <w:rsid w:val="003455E3"/>
    <w:rsid w:val="00350AFB"/>
    <w:rsid w:val="00350F47"/>
    <w:rsid w:val="003541B0"/>
    <w:rsid w:val="0036213D"/>
    <w:rsid w:val="003642CF"/>
    <w:rsid w:val="003655FB"/>
    <w:rsid w:val="003659AC"/>
    <w:rsid w:val="003668CE"/>
    <w:rsid w:val="0037103E"/>
    <w:rsid w:val="00375BCA"/>
    <w:rsid w:val="00376B71"/>
    <w:rsid w:val="00376D3C"/>
    <w:rsid w:val="00377A83"/>
    <w:rsid w:val="00380511"/>
    <w:rsid w:val="00383939"/>
    <w:rsid w:val="00387A8F"/>
    <w:rsid w:val="00387A9B"/>
    <w:rsid w:val="003910AB"/>
    <w:rsid w:val="00391DD8"/>
    <w:rsid w:val="003922E3"/>
    <w:rsid w:val="00392AA8"/>
    <w:rsid w:val="003A0D58"/>
    <w:rsid w:val="003B73AD"/>
    <w:rsid w:val="003C13E7"/>
    <w:rsid w:val="003D139A"/>
    <w:rsid w:val="003D346C"/>
    <w:rsid w:val="003E0C1F"/>
    <w:rsid w:val="003E1A16"/>
    <w:rsid w:val="003E5ECD"/>
    <w:rsid w:val="003F03A1"/>
    <w:rsid w:val="003F6B9F"/>
    <w:rsid w:val="00404D4D"/>
    <w:rsid w:val="004058DA"/>
    <w:rsid w:val="004066BC"/>
    <w:rsid w:val="00407430"/>
    <w:rsid w:val="00407BA3"/>
    <w:rsid w:val="00410CA1"/>
    <w:rsid w:val="00411172"/>
    <w:rsid w:val="0041255C"/>
    <w:rsid w:val="00417BF6"/>
    <w:rsid w:val="00424262"/>
    <w:rsid w:val="00424422"/>
    <w:rsid w:val="00431CDD"/>
    <w:rsid w:val="00433C13"/>
    <w:rsid w:val="00435C19"/>
    <w:rsid w:val="004404CD"/>
    <w:rsid w:val="00447E2C"/>
    <w:rsid w:val="004500BA"/>
    <w:rsid w:val="0045426C"/>
    <w:rsid w:val="00455480"/>
    <w:rsid w:val="00456399"/>
    <w:rsid w:val="004632D4"/>
    <w:rsid w:val="0046641C"/>
    <w:rsid w:val="00475DFF"/>
    <w:rsid w:val="00481859"/>
    <w:rsid w:val="00486AAC"/>
    <w:rsid w:val="0049030C"/>
    <w:rsid w:val="00490D8D"/>
    <w:rsid w:val="004943A2"/>
    <w:rsid w:val="00496971"/>
    <w:rsid w:val="004A2B61"/>
    <w:rsid w:val="004A31F5"/>
    <w:rsid w:val="004A3AE8"/>
    <w:rsid w:val="004A4EBC"/>
    <w:rsid w:val="004A6C65"/>
    <w:rsid w:val="004A7061"/>
    <w:rsid w:val="004B12C6"/>
    <w:rsid w:val="004B4D26"/>
    <w:rsid w:val="004C150D"/>
    <w:rsid w:val="004C2BD1"/>
    <w:rsid w:val="004C42C9"/>
    <w:rsid w:val="004D10E9"/>
    <w:rsid w:val="004D26AE"/>
    <w:rsid w:val="004D2E0A"/>
    <w:rsid w:val="004D7361"/>
    <w:rsid w:val="004E10CB"/>
    <w:rsid w:val="004E11B2"/>
    <w:rsid w:val="004E2025"/>
    <w:rsid w:val="004E3921"/>
    <w:rsid w:val="004E3E56"/>
    <w:rsid w:val="004E75A9"/>
    <w:rsid w:val="004F16B8"/>
    <w:rsid w:val="004F18EF"/>
    <w:rsid w:val="004F2D48"/>
    <w:rsid w:val="004F680C"/>
    <w:rsid w:val="004F7506"/>
    <w:rsid w:val="0050355D"/>
    <w:rsid w:val="005051F9"/>
    <w:rsid w:val="00522D62"/>
    <w:rsid w:val="005233F1"/>
    <w:rsid w:val="00525AFD"/>
    <w:rsid w:val="00526959"/>
    <w:rsid w:val="00530017"/>
    <w:rsid w:val="0053512C"/>
    <w:rsid w:val="00536B6A"/>
    <w:rsid w:val="005377E3"/>
    <w:rsid w:val="005403F3"/>
    <w:rsid w:val="00543903"/>
    <w:rsid w:val="00545DE9"/>
    <w:rsid w:val="00547495"/>
    <w:rsid w:val="00556868"/>
    <w:rsid w:val="00556C91"/>
    <w:rsid w:val="00581AED"/>
    <w:rsid w:val="00582CFC"/>
    <w:rsid w:val="0058567D"/>
    <w:rsid w:val="00591C7E"/>
    <w:rsid w:val="0059612E"/>
    <w:rsid w:val="0059653B"/>
    <w:rsid w:val="00597751"/>
    <w:rsid w:val="005A0BBE"/>
    <w:rsid w:val="005A53B3"/>
    <w:rsid w:val="005A7F09"/>
    <w:rsid w:val="005B1197"/>
    <w:rsid w:val="005B1CD0"/>
    <w:rsid w:val="005B2717"/>
    <w:rsid w:val="005B648F"/>
    <w:rsid w:val="005C190A"/>
    <w:rsid w:val="005C1A02"/>
    <w:rsid w:val="005C3F52"/>
    <w:rsid w:val="005C6D78"/>
    <w:rsid w:val="005D05BF"/>
    <w:rsid w:val="005D1CFC"/>
    <w:rsid w:val="005D3BEC"/>
    <w:rsid w:val="005D5BEB"/>
    <w:rsid w:val="005D7C71"/>
    <w:rsid w:val="005E23CD"/>
    <w:rsid w:val="005E57FB"/>
    <w:rsid w:val="005E6412"/>
    <w:rsid w:val="005F4843"/>
    <w:rsid w:val="005F6F56"/>
    <w:rsid w:val="005F75C0"/>
    <w:rsid w:val="00601BFB"/>
    <w:rsid w:val="006027EB"/>
    <w:rsid w:val="00603B16"/>
    <w:rsid w:val="0060625E"/>
    <w:rsid w:val="00606267"/>
    <w:rsid w:val="006100A4"/>
    <w:rsid w:val="0061017E"/>
    <w:rsid w:val="00613D7E"/>
    <w:rsid w:val="00616174"/>
    <w:rsid w:val="00616ADA"/>
    <w:rsid w:val="00616B23"/>
    <w:rsid w:val="006178FA"/>
    <w:rsid w:val="00620CA6"/>
    <w:rsid w:val="00621903"/>
    <w:rsid w:val="00631816"/>
    <w:rsid w:val="00632E1F"/>
    <w:rsid w:val="00644774"/>
    <w:rsid w:val="00647264"/>
    <w:rsid w:val="00651032"/>
    <w:rsid w:val="00653734"/>
    <w:rsid w:val="006540E9"/>
    <w:rsid w:val="00654FE9"/>
    <w:rsid w:val="00655089"/>
    <w:rsid w:val="006553B4"/>
    <w:rsid w:val="006636D4"/>
    <w:rsid w:val="00664C24"/>
    <w:rsid w:val="006651BC"/>
    <w:rsid w:val="006714C4"/>
    <w:rsid w:val="00672879"/>
    <w:rsid w:val="00674E24"/>
    <w:rsid w:val="00680003"/>
    <w:rsid w:val="0068129C"/>
    <w:rsid w:val="00685E9D"/>
    <w:rsid w:val="006907C4"/>
    <w:rsid w:val="00691D81"/>
    <w:rsid w:val="00692B38"/>
    <w:rsid w:val="00693744"/>
    <w:rsid w:val="006A0B8A"/>
    <w:rsid w:val="006A34F1"/>
    <w:rsid w:val="006A4095"/>
    <w:rsid w:val="006A5B80"/>
    <w:rsid w:val="006A6967"/>
    <w:rsid w:val="006A7655"/>
    <w:rsid w:val="006A784F"/>
    <w:rsid w:val="006A7B59"/>
    <w:rsid w:val="006B2FB1"/>
    <w:rsid w:val="006B444B"/>
    <w:rsid w:val="006B5A00"/>
    <w:rsid w:val="006B7B40"/>
    <w:rsid w:val="006C4177"/>
    <w:rsid w:val="006C6EDD"/>
    <w:rsid w:val="006C7B90"/>
    <w:rsid w:val="006D550C"/>
    <w:rsid w:val="006E1615"/>
    <w:rsid w:val="006E2F20"/>
    <w:rsid w:val="006E3508"/>
    <w:rsid w:val="006E4D90"/>
    <w:rsid w:val="006E72CC"/>
    <w:rsid w:val="006F7B19"/>
    <w:rsid w:val="00700413"/>
    <w:rsid w:val="00701E51"/>
    <w:rsid w:val="007038DF"/>
    <w:rsid w:val="0070496C"/>
    <w:rsid w:val="00707205"/>
    <w:rsid w:val="0071249A"/>
    <w:rsid w:val="00715503"/>
    <w:rsid w:val="00720024"/>
    <w:rsid w:val="0072185A"/>
    <w:rsid w:val="00723232"/>
    <w:rsid w:val="007317DC"/>
    <w:rsid w:val="007318A1"/>
    <w:rsid w:val="00735FDB"/>
    <w:rsid w:val="007420DB"/>
    <w:rsid w:val="00743D15"/>
    <w:rsid w:val="00751FC5"/>
    <w:rsid w:val="0075304D"/>
    <w:rsid w:val="0075357D"/>
    <w:rsid w:val="00757D51"/>
    <w:rsid w:val="00760FD3"/>
    <w:rsid w:val="007635F4"/>
    <w:rsid w:val="0077088F"/>
    <w:rsid w:val="0077387E"/>
    <w:rsid w:val="00775F2F"/>
    <w:rsid w:val="00785318"/>
    <w:rsid w:val="00790623"/>
    <w:rsid w:val="007A0A15"/>
    <w:rsid w:val="007A2923"/>
    <w:rsid w:val="007A53B7"/>
    <w:rsid w:val="007A65BE"/>
    <w:rsid w:val="007B72DB"/>
    <w:rsid w:val="007B7FC5"/>
    <w:rsid w:val="007C22BA"/>
    <w:rsid w:val="007C2A47"/>
    <w:rsid w:val="007C45D1"/>
    <w:rsid w:val="007C68D7"/>
    <w:rsid w:val="007C7232"/>
    <w:rsid w:val="007D16A8"/>
    <w:rsid w:val="007D7979"/>
    <w:rsid w:val="007E7A63"/>
    <w:rsid w:val="007E7B8D"/>
    <w:rsid w:val="007F2120"/>
    <w:rsid w:val="007F3316"/>
    <w:rsid w:val="007F486D"/>
    <w:rsid w:val="007F6073"/>
    <w:rsid w:val="007F7765"/>
    <w:rsid w:val="00810E71"/>
    <w:rsid w:val="008136C7"/>
    <w:rsid w:val="00833E24"/>
    <w:rsid w:val="00836C91"/>
    <w:rsid w:val="008402AA"/>
    <w:rsid w:val="0084075F"/>
    <w:rsid w:val="00842469"/>
    <w:rsid w:val="00843958"/>
    <w:rsid w:val="00843CA7"/>
    <w:rsid w:val="00853D42"/>
    <w:rsid w:val="00856143"/>
    <w:rsid w:val="008578A5"/>
    <w:rsid w:val="00857B5B"/>
    <w:rsid w:val="00860027"/>
    <w:rsid w:val="0086043C"/>
    <w:rsid w:val="00862873"/>
    <w:rsid w:val="00864172"/>
    <w:rsid w:val="0088029E"/>
    <w:rsid w:val="00886B83"/>
    <w:rsid w:val="00887235"/>
    <w:rsid w:val="008A31B1"/>
    <w:rsid w:val="008A4236"/>
    <w:rsid w:val="008B0B0C"/>
    <w:rsid w:val="008B6D42"/>
    <w:rsid w:val="008C0959"/>
    <w:rsid w:val="008C2F17"/>
    <w:rsid w:val="008C5DF1"/>
    <w:rsid w:val="008C5EF1"/>
    <w:rsid w:val="008C7355"/>
    <w:rsid w:val="008D1EF0"/>
    <w:rsid w:val="008E31F3"/>
    <w:rsid w:val="008E4DC7"/>
    <w:rsid w:val="008F0487"/>
    <w:rsid w:val="008F4F52"/>
    <w:rsid w:val="008F5F9F"/>
    <w:rsid w:val="008F69C5"/>
    <w:rsid w:val="008F71A7"/>
    <w:rsid w:val="0090364F"/>
    <w:rsid w:val="00903664"/>
    <w:rsid w:val="00904688"/>
    <w:rsid w:val="00914A8E"/>
    <w:rsid w:val="00927AB4"/>
    <w:rsid w:val="00930684"/>
    <w:rsid w:val="00932C0C"/>
    <w:rsid w:val="00935A4F"/>
    <w:rsid w:val="009476B0"/>
    <w:rsid w:val="00950F26"/>
    <w:rsid w:val="00953367"/>
    <w:rsid w:val="00956017"/>
    <w:rsid w:val="00965EFA"/>
    <w:rsid w:val="00977B45"/>
    <w:rsid w:val="009850A8"/>
    <w:rsid w:val="009855CC"/>
    <w:rsid w:val="00992544"/>
    <w:rsid w:val="00992CF6"/>
    <w:rsid w:val="00993186"/>
    <w:rsid w:val="00995251"/>
    <w:rsid w:val="009973F7"/>
    <w:rsid w:val="009A0AB5"/>
    <w:rsid w:val="009A1378"/>
    <w:rsid w:val="009A39C4"/>
    <w:rsid w:val="009A5236"/>
    <w:rsid w:val="009A5485"/>
    <w:rsid w:val="009A58ED"/>
    <w:rsid w:val="009B0B18"/>
    <w:rsid w:val="009B36F6"/>
    <w:rsid w:val="009B3C4A"/>
    <w:rsid w:val="009B46CB"/>
    <w:rsid w:val="009B4D9F"/>
    <w:rsid w:val="009B795B"/>
    <w:rsid w:val="009C51B9"/>
    <w:rsid w:val="009C782B"/>
    <w:rsid w:val="009D367F"/>
    <w:rsid w:val="00A03CDB"/>
    <w:rsid w:val="00A0547B"/>
    <w:rsid w:val="00A06ED7"/>
    <w:rsid w:val="00A105BE"/>
    <w:rsid w:val="00A12EE0"/>
    <w:rsid w:val="00A13FC9"/>
    <w:rsid w:val="00A1505D"/>
    <w:rsid w:val="00A150B6"/>
    <w:rsid w:val="00A16DAD"/>
    <w:rsid w:val="00A16F11"/>
    <w:rsid w:val="00A21205"/>
    <w:rsid w:val="00A214B5"/>
    <w:rsid w:val="00A24CF0"/>
    <w:rsid w:val="00A27153"/>
    <w:rsid w:val="00A27294"/>
    <w:rsid w:val="00A33B36"/>
    <w:rsid w:val="00A37BCF"/>
    <w:rsid w:val="00A41881"/>
    <w:rsid w:val="00A437A9"/>
    <w:rsid w:val="00A478DE"/>
    <w:rsid w:val="00A47AA0"/>
    <w:rsid w:val="00A51E35"/>
    <w:rsid w:val="00A6018C"/>
    <w:rsid w:val="00A60605"/>
    <w:rsid w:val="00A611A3"/>
    <w:rsid w:val="00A64AFD"/>
    <w:rsid w:val="00A816A6"/>
    <w:rsid w:val="00A819AF"/>
    <w:rsid w:val="00A83421"/>
    <w:rsid w:val="00A83435"/>
    <w:rsid w:val="00A8470C"/>
    <w:rsid w:val="00A873E9"/>
    <w:rsid w:val="00A87CD8"/>
    <w:rsid w:val="00A90271"/>
    <w:rsid w:val="00A902DB"/>
    <w:rsid w:val="00A92D20"/>
    <w:rsid w:val="00AA1B83"/>
    <w:rsid w:val="00AA4632"/>
    <w:rsid w:val="00AB1BB9"/>
    <w:rsid w:val="00AB47F6"/>
    <w:rsid w:val="00AB6102"/>
    <w:rsid w:val="00AB6BAE"/>
    <w:rsid w:val="00AC2D88"/>
    <w:rsid w:val="00AC58D0"/>
    <w:rsid w:val="00AD11A2"/>
    <w:rsid w:val="00AD3580"/>
    <w:rsid w:val="00AD4D22"/>
    <w:rsid w:val="00AD6004"/>
    <w:rsid w:val="00AD76FF"/>
    <w:rsid w:val="00AD7F55"/>
    <w:rsid w:val="00AF0186"/>
    <w:rsid w:val="00AF3986"/>
    <w:rsid w:val="00B01130"/>
    <w:rsid w:val="00B03C94"/>
    <w:rsid w:val="00B07187"/>
    <w:rsid w:val="00B107AD"/>
    <w:rsid w:val="00B10B48"/>
    <w:rsid w:val="00B10C7C"/>
    <w:rsid w:val="00B15130"/>
    <w:rsid w:val="00B15AF4"/>
    <w:rsid w:val="00B16305"/>
    <w:rsid w:val="00B33D77"/>
    <w:rsid w:val="00B35D8C"/>
    <w:rsid w:val="00B4124B"/>
    <w:rsid w:val="00B440A8"/>
    <w:rsid w:val="00B52772"/>
    <w:rsid w:val="00B53BE4"/>
    <w:rsid w:val="00B55F89"/>
    <w:rsid w:val="00B6760E"/>
    <w:rsid w:val="00B702F8"/>
    <w:rsid w:val="00B70426"/>
    <w:rsid w:val="00B70432"/>
    <w:rsid w:val="00B73056"/>
    <w:rsid w:val="00B73C49"/>
    <w:rsid w:val="00B74452"/>
    <w:rsid w:val="00B75D44"/>
    <w:rsid w:val="00B77F42"/>
    <w:rsid w:val="00B838FD"/>
    <w:rsid w:val="00B8541C"/>
    <w:rsid w:val="00B8752A"/>
    <w:rsid w:val="00B87678"/>
    <w:rsid w:val="00B87903"/>
    <w:rsid w:val="00B90AB2"/>
    <w:rsid w:val="00B912B3"/>
    <w:rsid w:val="00B9425F"/>
    <w:rsid w:val="00B942B8"/>
    <w:rsid w:val="00B9575E"/>
    <w:rsid w:val="00B97F1D"/>
    <w:rsid w:val="00BA1154"/>
    <w:rsid w:val="00BA3212"/>
    <w:rsid w:val="00BA62E6"/>
    <w:rsid w:val="00BB5FE7"/>
    <w:rsid w:val="00BC012B"/>
    <w:rsid w:val="00BC5989"/>
    <w:rsid w:val="00BD6D63"/>
    <w:rsid w:val="00BE001E"/>
    <w:rsid w:val="00BF5C55"/>
    <w:rsid w:val="00BF5E23"/>
    <w:rsid w:val="00C0643D"/>
    <w:rsid w:val="00C108C8"/>
    <w:rsid w:val="00C10E95"/>
    <w:rsid w:val="00C11086"/>
    <w:rsid w:val="00C14A8D"/>
    <w:rsid w:val="00C159DB"/>
    <w:rsid w:val="00C16D6A"/>
    <w:rsid w:val="00C179C6"/>
    <w:rsid w:val="00C24ECD"/>
    <w:rsid w:val="00C25E7F"/>
    <w:rsid w:val="00C308EE"/>
    <w:rsid w:val="00C3143D"/>
    <w:rsid w:val="00C316D5"/>
    <w:rsid w:val="00C35E11"/>
    <w:rsid w:val="00C40D55"/>
    <w:rsid w:val="00C43D09"/>
    <w:rsid w:val="00C447CD"/>
    <w:rsid w:val="00C470A6"/>
    <w:rsid w:val="00C47CF1"/>
    <w:rsid w:val="00C47F76"/>
    <w:rsid w:val="00C6174B"/>
    <w:rsid w:val="00C67DCE"/>
    <w:rsid w:val="00C729E2"/>
    <w:rsid w:val="00C72E09"/>
    <w:rsid w:val="00C75F85"/>
    <w:rsid w:val="00C92B5B"/>
    <w:rsid w:val="00C93ECB"/>
    <w:rsid w:val="00C9622A"/>
    <w:rsid w:val="00CA11D9"/>
    <w:rsid w:val="00CA13BA"/>
    <w:rsid w:val="00CB3A3E"/>
    <w:rsid w:val="00CC0F02"/>
    <w:rsid w:val="00CC13D9"/>
    <w:rsid w:val="00CC2070"/>
    <w:rsid w:val="00CC4650"/>
    <w:rsid w:val="00CC4E6F"/>
    <w:rsid w:val="00CC64B1"/>
    <w:rsid w:val="00CC6537"/>
    <w:rsid w:val="00CD2510"/>
    <w:rsid w:val="00CD7402"/>
    <w:rsid w:val="00CE0708"/>
    <w:rsid w:val="00CE6880"/>
    <w:rsid w:val="00CE6B9E"/>
    <w:rsid w:val="00CE765C"/>
    <w:rsid w:val="00CF3B0B"/>
    <w:rsid w:val="00CF4D09"/>
    <w:rsid w:val="00CF537E"/>
    <w:rsid w:val="00D00F47"/>
    <w:rsid w:val="00D02349"/>
    <w:rsid w:val="00D037E2"/>
    <w:rsid w:val="00D07AB7"/>
    <w:rsid w:val="00D126CA"/>
    <w:rsid w:val="00D27BA6"/>
    <w:rsid w:val="00D30A99"/>
    <w:rsid w:val="00D322FE"/>
    <w:rsid w:val="00D3290D"/>
    <w:rsid w:val="00D330DC"/>
    <w:rsid w:val="00D34559"/>
    <w:rsid w:val="00D46080"/>
    <w:rsid w:val="00D46EC4"/>
    <w:rsid w:val="00D506E5"/>
    <w:rsid w:val="00D51412"/>
    <w:rsid w:val="00D51502"/>
    <w:rsid w:val="00D5164F"/>
    <w:rsid w:val="00D5246A"/>
    <w:rsid w:val="00D54961"/>
    <w:rsid w:val="00D61A79"/>
    <w:rsid w:val="00D61CC4"/>
    <w:rsid w:val="00D648FE"/>
    <w:rsid w:val="00D67FD0"/>
    <w:rsid w:val="00D7348B"/>
    <w:rsid w:val="00D73ED5"/>
    <w:rsid w:val="00D74210"/>
    <w:rsid w:val="00D74E10"/>
    <w:rsid w:val="00D762DB"/>
    <w:rsid w:val="00D768A8"/>
    <w:rsid w:val="00D83A0A"/>
    <w:rsid w:val="00DA5A24"/>
    <w:rsid w:val="00DA5BBA"/>
    <w:rsid w:val="00DB1C49"/>
    <w:rsid w:val="00DB1D5E"/>
    <w:rsid w:val="00DC4B63"/>
    <w:rsid w:val="00DD55C6"/>
    <w:rsid w:val="00DD5896"/>
    <w:rsid w:val="00DE6F9E"/>
    <w:rsid w:val="00DF01B9"/>
    <w:rsid w:val="00DF1AE7"/>
    <w:rsid w:val="00DF7497"/>
    <w:rsid w:val="00E031F8"/>
    <w:rsid w:val="00E113F1"/>
    <w:rsid w:val="00E11622"/>
    <w:rsid w:val="00E11DD8"/>
    <w:rsid w:val="00E15F88"/>
    <w:rsid w:val="00E245D1"/>
    <w:rsid w:val="00E25608"/>
    <w:rsid w:val="00E31020"/>
    <w:rsid w:val="00E348A7"/>
    <w:rsid w:val="00E3638C"/>
    <w:rsid w:val="00E440DA"/>
    <w:rsid w:val="00E45A5F"/>
    <w:rsid w:val="00E47D30"/>
    <w:rsid w:val="00E5118D"/>
    <w:rsid w:val="00E5335F"/>
    <w:rsid w:val="00E61389"/>
    <w:rsid w:val="00E66676"/>
    <w:rsid w:val="00E757A5"/>
    <w:rsid w:val="00E760FA"/>
    <w:rsid w:val="00E8624D"/>
    <w:rsid w:val="00E87298"/>
    <w:rsid w:val="00E90355"/>
    <w:rsid w:val="00E90DA5"/>
    <w:rsid w:val="00EA0D7D"/>
    <w:rsid w:val="00EA6F37"/>
    <w:rsid w:val="00EB3340"/>
    <w:rsid w:val="00EB336E"/>
    <w:rsid w:val="00EC243D"/>
    <w:rsid w:val="00EC4118"/>
    <w:rsid w:val="00EC4B75"/>
    <w:rsid w:val="00EC66C1"/>
    <w:rsid w:val="00ED116C"/>
    <w:rsid w:val="00ED15DD"/>
    <w:rsid w:val="00ED1B90"/>
    <w:rsid w:val="00ED6A18"/>
    <w:rsid w:val="00EE364D"/>
    <w:rsid w:val="00F00450"/>
    <w:rsid w:val="00F00982"/>
    <w:rsid w:val="00F01202"/>
    <w:rsid w:val="00F05DDA"/>
    <w:rsid w:val="00F066A7"/>
    <w:rsid w:val="00F0700F"/>
    <w:rsid w:val="00F078EA"/>
    <w:rsid w:val="00F119D9"/>
    <w:rsid w:val="00F14708"/>
    <w:rsid w:val="00F14ABD"/>
    <w:rsid w:val="00F14E30"/>
    <w:rsid w:val="00F14EFE"/>
    <w:rsid w:val="00F15ACC"/>
    <w:rsid w:val="00F16157"/>
    <w:rsid w:val="00F163FF"/>
    <w:rsid w:val="00F16E48"/>
    <w:rsid w:val="00F23997"/>
    <w:rsid w:val="00F23A46"/>
    <w:rsid w:val="00F26FC1"/>
    <w:rsid w:val="00F276F5"/>
    <w:rsid w:val="00F31DD5"/>
    <w:rsid w:val="00F3358F"/>
    <w:rsid w:val="00F36C85"/>
    <w:rsid w:val="00F46C56"/>
    <w:rsid w:val="00F57CC3"/>
    <w:rsid w:val="00F61B88"/>
    <w:rsid w:val="00F65792"/>
    <w:rsid w:val="00F65E5B"/>
    <w:rsid w:val="00F66154"/>
    <w:rsid w:val="00F666C5"/>
    <w:rsid w:val="00F723D3"/>
    <w:rsid w:val="00F77D82"/>
    <w:rsid w:val="00F80484"/>
    <w:rsid w:val="00F80D67"/>
    <w:rsid w:val="00F810B0"/>
    <w:rsid w:val="00F85392"/>
    <w:rsid w:val="00F853AF"/>
    <w:rsid w:val="00F91A93"/>
    <w:rsid w:val="00FA3A85"/>
    <w:rsid w:val="00FB1333"/>
    <w:rsid w:val="00FB41DB"/>
    <w:rsid w:val="00FB6715"/>
    <w:rsid w:val="00FB774D"/>
    <w:rsid w:val="00FC0B25"/>
    <w:rsid w:val="00FC1C3B"/>
    <w:rsid w:val="00FD33E7"/>
    <w:rsid w:val="00FD3E20"/>
    <w:rsid w:val="00FD66C5"/>
    <w:rsid w:val="00FE7663"/>
    <w:rsid w:val="00FF5012"/>
    <w:rsid w:val="00FF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7BBCC"/>
  <w15:chartTrackingRefBased/>
  <w15:docId w15:val="{DC78FFBF-AC6C-4F16-B78A-C03D6592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31020"/>
    <w:pPr>
      <w:keepNext/>
      <w:outlineLvl w:val="2"/>
    </w:pPr>
    <w:rPr>
      <w:b/>
      <w:color w:val="000000"/>
      <w:sz w:val="22"/>
      <w:u w:val="single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5E57FB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5E57FB"/>
  </w:style>
  <w:style w:type="character" w:customStyle="1" w:styleId="rvts15">
    <w:name w:val="rvts15"/>
    <w:basedOn w:val="a0"/>
    <w:rsid w:val="005E57FB"/>
  </w:style>
  <w:style w:type="paragraph" w:customStyle="1" w:styleId="rvps2">
    <w:name w:val="rvps2"/>
    <w:basedOn w:val="a"/>
    <w:rsid w:val="005E57FB"/>
    <w:pPr>
      <w:spacing w:before="100" w:beforeAutospacing="1" w:after="100" w:afterAutospacing="1"/>
    </w:pPr>
    <w:rPr>
      <w:lang w:val="ru-RU"/>
    </w:rPr>
  </w:style>
  <w:style w:type="paragraph" w:customStyle="1" w:styleId="rvps14">
    <w:name w:val="rvps14"/>
    <w:basedOn w:val="a"/>
    <w:rsid w:val="005E57FB"/>
    <w:pPr>
      <w:spacing w:before="100" w:beforeAutospacing="1" w:after="100" w:afterAutospacing="1"/>
    </w:pPr>
    <w:rPr>
      <w:lang w:val="ru-RU"/>
    </w:rPr>
  </w:style>
  <w:style w:type="paragraph" w:customStyle="1" w:styleId="rvps8">
    <w:name w:val="rvps8"/>
    <w:basedOn w:val="a"/>
    <w:rsid w:val="005E57FB"/>
    <w:pPr>
      <w:spacing w:before="100" w:beforeAutospacing="1" w:after="100" w:afterAutospacing="1"/>
    </w:pPr>
    <w:rPr>
      <w:lang w:val="ru-RU"/>
    </w:rPr>
  </w:style>
  <w:style w:type="character" w:customStyle="1" w:styleId="rvts82">
    <w:name w:val="rvts82"/>
    <w:basedOn w:val="a0"/>
    <w:rsid w:val="005E57FB"/>
  </w:style>
  <w:style w:type="character" w:customStyle="1" w:styleId="rvts46">
    <w:name w:val="rvts46"/>
    <w:basedOn w:val="a0"/>
    <w:rsid w:val="005E57FB"/>
  </w:style>
  <w:style w:type="character" w:styleId="a3">
    <w:name w:val="Hyperlink"/>
    <w:rsid w:val="005E57FB"/>
    <w:rPr>
      <w:color w:val="0000FF"/>
      <w:u w:val="single"/>
    </w:rPr>
  </w:style>
  <w:style w:type="paragraph" w:customStyle="1" w:styleId="a4">
    <w:name w:val="Назва документа"/>
    <w:basedOn w:val="a"/>
    <w:next w:val="a"/>
    <w:rsid w:val="00DD55C6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styleId="a5">
    <w:name w:val="Normal (Web)"/>
    <w:basedOn w:val="a"/>
    <w:uiPriority w:val="99"/>
    <w:rsid w:val="002E49AF"/>
    <w:pPr>
      <w:spacing w:before="100" w:beforeAutospacing="1" w:after="100" w:afterAutospacing="1"/>
    </w:pPr>
    <w:rPr>
      <w:lang w:val="ru-RU"/>
    </w:rPr>
  </w:style>
  <w:style w:type="paragraph" w:styleId="HTML">
    <w:name w:val="HTML Preformatted"/>
    <w:basedOn w:val="a"/>
    <w:rsid w:val="00FB7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  <w:lang w:val="ru-RU"/>
    </w:rPr>
  </w:style>
  <w:style w:type="paragraph" w:customStyle="1" w:styleId="a6">
    <w:name w:val="Знак Знак Знак Знак Знак Знак Знак Знак"/>
    <w:basedOn w:val="a"/>
    <w:rsid w:val="00FB774D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7C22BA"/>
    <w:pPr>
      <w:suppressAutoHyphens/>
      <w:jc w:val="center"/>
    </w:pPr>
    <w:rPr>
      <w:b/>
      <w:sz w:val="34"/>
      <w:szCs w:val="20"/>
    </w:rPr>
  </w:style>
  <w:style w:type="paragraph" w:styleId="2">
    <w:name w:val="Body Text Indent 2"/>
    <w:basedOn w:val="a"/>
    <w:link w:val="20"/>
    <w:rsid w:val="007C22BA"/>
    <w:pPr>
      <w:spacing w:after="120" w:line="480" w:lineRule="auto"/>
      <w:ind w:left="283"/>
    </w:pPr>
    <w:rPr>
      <w:sz w:val="28"/>
      <w:szCs w:val="20"/>
    </w:rPr>
  </w:style>
  <w:style w:type="paragraph" w:styleId="a7">
    <w:name w:val="Body Text Indent"/>
    <w:basedOn w:val="a"/>
    <w:link w:val="a8"/>
    <w:rsid w:val="00392AA8"/>
    <w:pPr>
      <w:spacing w:after="120"/>
      <w:ind w:left="283"/>
    </w:pPr>
  </w:style>
  <w:style w:type="paragraph" w:styleId="a9">
    <w:name w:val="Balloon Text"/>
    <w:basedOn w:val="a"/>
    <w:semiHidden/>
    <w:rsid w:val="00857B5B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685E9D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85E9D"/>
  </w:style>
  <w:style w:type="character" w:customStyle="1" w:styleId="rvts52">
    <w:name w:val="rvts52"/>
    <w:basedOn w:val="a0"/>
    <w:rsid w:val="00F65792"/>
  </w:style>
  <w:style w:type="paragraph" w:styleId="33">
    <w:name w:val="Body Text Indent 3"/>
    <w:basedOn w:val="a"/>
    <w:link w:val="34"/>
    <w:rsid w:val="00F65792"/>
    <w:pPr>
      <w:spacing w:after="120"/>
      <w:ind w:left="283"/>
    </w:pPr>
    <w:rPr>
      <w:sz w:val="16"/>
      <w:szCs w:val="16"/>
      <w:lang w:eastAsia="x-none"/>
    </w:rPr>
  </w:style>
  <w:style w:type="character" w:customStyle="1" w:styleId="34">
    <w:name w:val="Основной текст с отступом 3 Знак"/>
    <w:link w:val="33"/>
    <w:rsid w:val="00F65792"/>
    <w:rPr>
      <w:sz w:val="16"/>
      <w:szCs w:val="16"/>
      <w:lang w:val="uk-UA"/>
    </w:rPr>
  </w:style>
  <w:style w:type="character" w:styleId="ac">
    <w:name w:val="footnote reference"/>
    <w:rsid w:val="00F65792"/>
    <w:rPr>
      <w:vertAlign w:val="superscript"/>
    </w:rPr>
  </w:style>
  <w:style w:type="paragraph" w:customStyle="1" w:styleId="Eooee">
    <w:name w:val="Eo?oee"/>
    <w:basedOn w:val="a"/>
    <w:rsid w:val="009A1378"/>
    <w:pPr>
      <w:ind w:firstLine="567"/>
      <w:jc w:val="both"/>
    </w:pPr>
    <w:rPr>
      <w:sz w:val="28"/>
      <w:szCs w:val="20"/>
      <w:lang w:val="ru-RU"/>
    </w:rPr>
  </w:style>
  <w:style w:type="paragraph" w:customStyle="1" w:styleId="Style21">
    <w:name w:val="Style21"/>
    <w:basedOn w:val="a"/>
    <w:rsid w:val="009A1378"/>
    <w:pPr>
      <w:widowControl w:val="0"/>
      <w:autoSpaceDE w:val="0"/>
      <w:autoSpaceDN w:val="0"/>
      <w:adjustRightInd w:val="0"/>
      <w:spacing w:line="324" w:lineRule="exact"/>
      <w:ind w:firstLine="696"/>
    </w:pPr>
    <w:rPr>
      <w:lang w:eastAsia="uk-UA"/>
    </w:rPr>
  </w:style>
  <w:style w:type="character" w:customStyle="1" w:styleId="FontStyle41">
    <w:name w:val="Font Style41"/>
    <w:rsid w:val="009A13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9A1378"/>
    <w:rPr>
      <w:rFonts w:ascii="Times New Roman" w:hAnsi="Times New Roman" w:cs="Times New Roman"/>
      <w:sz w:val="24"/>
      <w:szCs w:val="24"/>
    </w:rPr>
  </w:style>
  <w:style w:type="character" w:customStyle="1" w:styleId="21">
    <w:name w:val="Знак Знак2"/>
    <w:locked/>
    <w:rsid w:val="002C526C"/>
    <w:rPr>
      <w:rFonts w:ascii="Arial" w:hAnsi="Arial" w:cs="Arial"/>
      <w:sz w:val="24"/>
      <w:lang w:val="uk-UA" w:eastAsia="ru-RU" w:bidi="ar-SA"/>
    </w:rPr>
  </w:style>
  <w:style w:type="paragraph" w:customStyle="1" w:styleId="ad">
    <w:name w:val="Знак Знак Знак Знак"/>
    <w:basedOn w:val="a"/>
    <w:rsid w:val="00447E2C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1"/>
    <w:basedOn w:val="a"/>
    <w:rsid w:val="00A92D20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1C75BF"/>
    <w:rPr>
      <w:rFonts w:ascii="Verdana" w:hAnsi="Verdana" w:cs="Verdana"/>
      <w:sz w:val="20"/>
      <w:szCs w:val="20"/>
      <w:lang w:val="en-US" w:eastAsia="en-US"/>
    </w:rPr>
  </w:style>
  <w:style w:type="paragraph" w:customStyle="1" w:styleId="Style17">
    <w:name w:val="Style17"/>
    <w:basedOn w:val="a"/>
    <w:rsid w:val="006E72CC"/>
    <w:pPr>
      <w:widowControl w:val="0"/>
      <w:autoSpaceDE w:val="0"/>
      <w:autoSpaceDN w:val="0"/>
      <w:adjustRightInd w:val="0"/>
      <w:spacing w:line="322" w:lineRule="exact"/>
      <w:ind w:firstLine="706"/>
    </w:pPr>
    <w:rPr>
      <w:lang w:eastAsia="uk-UA"/>
    </w:rPr>
  </w:style>
  <w:style w:type="paragraph" w:styleId="af">
    <w:name w:val="List Paragraph"/>
    <w:basedOn w:val="a"/>
    <w:uiPriority w:val="34"/>
    <w:qFormat/>
    <w:rsid w:val="00B6760E"/>
    <w:pPr>
      <w:ind w:left="720"/>
      <w:contextualSpacing/>
    </w:pPr>
    <w:rPr>
      <w:lang w:val="ru-RU"/>
    </w:rPr>
  </w:style>
  <w:style w:type="paragraph" w:styleId="af0">
    <w:name w:val="footer"/>
    <w:basedOn w:val="a"/>
    <w:rsid w:val="00843CA7"/>
    <w:pPr>
      <w:tabs>
        <w:tab w:val="center" w:pos="4677"/>
        <w:tab w:val="right" w:pos="9355"/>
      </w:tabs>
    </w:pPr>
  </w:style>
  <w:style w:type="character" w:customStyle="1" w:styleId="WW8Num6z6">
    <w:name w:val="WW8Num6z6"/>
    <w:rsid w:val="00102E09"/>
  </w:style>
  <w:style w:type="paragraph" w:customStyle="1" w:styleId="af1">
    <w:name w:val="Вміст таблиці"/>
    <w:basedOn w:val="a"/>
    <w:rsid w:val="000962EA"/>
    <w:pPr>
      <w:suppressLineNumbers/>
      <w:suppressAutoHyphens/>
    </w:pPr>
    <w:rPr>
      <w:rFonts w:ascii="Liberation Serif" w:eastAsia="Tahoma" w:hAnsi="Liberation Serif" w:cs="Lohit Devanagari"/>
      <w:kern w:val="1"/>
      <w:lang w:eastAsia="zh-CN" w:bidi="hi-IN"/>
    </w:rPr>
  </w:style>
  <w:style w:type="paragraph" w:customStyle="1" w:styleId="210">
    <w:name w:val="Основний текст 21"/>
    <w:basedOn w:val="a"/>
    <w:rsid w:val="000962EA"/>
    <w:pPr>
      <w:spacing w:after="120" w:line="480" w:lineRule="auto"/>
    </w:pPr>
    <w:rPr>
      <w:kern w:val="1"/>
      <w:sz w:val="28"/>
      <w:szCs w:val="20"/>
      <w:lang w:eastAsia="zh-CN"/>
    </w:rPr>
  </w:style>
  <w:style w:type="paragraph" w:styleId="22">
    <w:name w:val="Body Text 2"/>
    <w:basedOn w:val="a"/>
    <w:link w:val="23"/>
    <w:rsid w:val="004D26AE"/>
    <w:pPr>
      <w:spacing w:after="120" w:line="480" w:lineRule="auto"/>
    </w:pPr>
    <w:rPr>
      <w:lang w:eastAsia="x-none"/>
    </w:rPr>
  </w:style>
  <w:style w:type="character" w:customStyle="1" w:styleId="23">
    <w:name w:val="Основной текст 2 Знак"/>
    <w:link w:val="22"/>
    <w:rsid w:val="004D26AE"/>
    <w:rPr>
      <w:sz w:val="24"/>
      <w:szCs w:val="24"/>
      <w:lang w:val="uk-UA"/>
    </w:rPr>
  </w:style>
  <w:style w:type="character" w:customStyle="1" w:styleId="30">
    <w:name w:val="Заголовок 3 Знак"/>
    <w:link w:val="3"/>
    <w:rsid w:val="00E31020"/>
    <w:rPr>
      <w:b/>
      <w:color w:val="000000"/>
      <w:sz w:val="22"/>
      <w:szCs w:val="24"/>
      <w:u w:val="single"/>
      <w:lang w:val="uk-UA" w:eastAsia="x-none"/>
    </w:rPr>
  </w:style>
  <w:style w:type="character" w:customStyle="1" w:styleId="a8">
    <w:name w:val="Основной текст с отступом Знак"/>
    <w:link w:val="a7"/>
    <w:rsid w:val="00E31020"/>
    <w:rPr>
      <w:sz w:val="24"/>
      <w:szCs w:val="24"/>
      <w:lang w:val="uk-UA"/>
    </w:rPr>
  </w:style>
  <w:style w:type="character" w:customStyle="1" w:styleId="32">
    <w:name w:val="Основной текст 3 Знак"/>
    <w:link w:val="31"/>
    <w:rsid w:val="00391DD8"/>
    <w:rPr>
      <w:b/>
      <w:sz w:val="34"/>
      <w:lang w:val="uk-UA"/>
    </w:rPr>
  </w:style>
  <w:style w:type="character" w:customStyle="1" w:styleId="20">
    <w:name w:val="Основной текст с отступом 2 Знак"/>
    <w:link w:val="2"/>
    <w:rsid w:val="00391DD8"/>
    <w:rPr>
      <w:sz w:val="28"/>
      <w:lang w:val="uk-UA"/>
    </w:rPr>
  </w:style>
  <w:style w:type="character" w:styleId="af2">
    <w:name w:val="annotation reference"/>
    <w:rsid w:val="00AD6004"/>
    <w:rPr>
      <w:sz w:val="16"/>
      <w:szCs w:val="16"/>
    </w:rPr>
  </w:style>
  <w:style w:type="paragraph" w:styleId="af3">
    <w:name w:val="annotation text"/>
    <w:basedOn w:val="a"/>
    <w:link w:val="af4"/>
    <w:rsid w:val="00AD6004"/>
    <w:rPr>
      <w:sz w:val="20"/>
      <w:szCs w:val="20"/>
    </w:rPr>
  </w:style>
  <w:style w:type="character" w:customStyle="1" w:styleId="af4">
    <w:name w:val="Текст примечания Знак"/>
    <w:link w:val="af3"/>
    <w:rsid w:val="00AD6004"/>
    <w:rPr>
      <w:lang w:eastAsia="ru-RU"/>
    </w:rPr>
  </w:style>
  <w:style w:type="paragraph" w:styleId="af5">
    <w:name w:val="annotation subject"/>
    <w:basedOn w:val="af3"/>
    <w:next w:val="af3"/>
    <w:link w:val="af6"/>
    <w:rsid w:val="00AD6004"/>
    <w:rPr>
      <w:b/>
      <w:bCs/>
    </w:rPr>
  </w:style>
  <w:style w:type="character" w:customStyle="1" w:styleId="af6">
    <w:name w:val="Тема примечания Знак"/>
    <w:link w:val="af5"/>
    <w:rsid w:val="00AD6004"/>
    <w:rPr>
      <w:b/>
      <w:bCs/>
      <w:lang w:eastAsia="ru-RU"/>
    </w:rPr>
  </w:style>
  <w:style w:type="paragraph" w:styleId="af7">
    <w:name w:val="Body Text"/>
    <w:basedOn w:val="a"/>
    <w:link w:val="af8"/>
    <w:rsid w:val="003040E3"/>
    <w:pPr>
      <w:spacing w:after="120"/>
    </w:pPr>
  </w:style>
  <w:style w:type="character" w:customStyle="1" w:styleId="af8">
    <w:name w:val="Основной текст Знак"/>
    <w:basedOn w:val="a0"/>
    <w:link w:val="af7"/>
    <w:rsid w:val="003040E3"/>
    <w:rPr>
      <w:sz w:val="24"/>
      <w:szCs w:val="24"/>
      <w:lang w:eastAsia="ru-RU"/>
    </w:rPr>
  </w:style>
  <w:style w:type="character" w:customStyle="1" w:styleId="rvts0">
    <w:name w:val="rvts0"/>
    <w:basedOn w:val="a0"/>
    <w:rsid w:val="003040E3"/>
  </w:style>
  <w:style w:type="character" w:customStyle="1" w:styleId="st1">
    <w:name w:val="st1"/>
    <w:rsid w:val="003040E3"/>
  </w:style>
  <w:style w:type="character" w:customStyle="1" w:styleId="rvts44">
    <w:name w:val="rvts44"/>
    <w:basedOn w:val="a0"/>
    <w:rsid w:val="003040E3"/>
  </w:style>
  <w:style w:type="paragraph" w:customStyle="1" w:styleId="af9">
    <w:name w:val="Стиль Знак"/>
    <w:basedOn w:val="a"/>
    <w:rsid w:val="00A06ED7"/>
    <w:rPr>
      <w:rFonts w:ascii="Verdana" w:hAnsi="Verdana" w:cs="Verdana"/>
      <w:sz w:val="20"/>
      <w:szCs w:val="20"/>
      <w:lang w:val="en-US" w:eastAsia="en-US"/>
    </w:rPr>
  </w:style>
  <w:style w:type="paragraph" w:customStyle="1" w:styleId="rvps21">
    <w:name w:val="rvps21"/>
    <w:basedOn w:val="a"/>
    <w:rsid w:val="00407BA3"/>
    <w:pPr>
      <w:spacing w:after="125"/>
      <w:ind w:firstLine="376"/>
      <w:jc w:val="both"/>
    </w:pPr>
    <w:rPr>
      <w:rFonts w:eastAsiaTheme="minorEastAsia"/>
      <w:lang w:val="ru-RU"/>
    </w:rPr>
  </w:style>
  <w:style w:type="character" w:customStyle="1" w:styleId="afa">
    <w:name w:val="Основной текст_"/>
    <w:basedOn w:val="a0"/>
    <w:link w:val="10"/>
    <w:rsid w:val="00C72E09"/>
    <w:rPr>
      <w:sz w:val="28"/>
      <w:szCs w:val="28"/>
    </w:rPr>
  </w:style>
  <w:style w:type="paragraph" w:customStyle="1" w:styleId="10">
    <w:name w:val="Основной текст1"/>
    <w:basedOn w:val="a"/>
    <w:link w:val="afa"/>
    <w:rsid w:val="00C72E09"/>
    <w:pPr>
      <w:widowControl w:val="0"/>
      <w:ind w:firstLine="400"/>
    </w:pPr>
    <w:rPr>
      <w:sz w:val="28"/>
      <w:szCs w:val="28"/>
      <w:lang w:eastAsia="uk-UA"/>
    </w:rPr>
  </w:style>
  <w:style w:type="table" w:styleId="afb">
    <w:name w:val="Table Grid"/>
    <w:basedOn w:val="a1"/>
    <w:uiPriority w:val="59"/>
    <w:rsid w:val="00F91A9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65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6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4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3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6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93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3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2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5008-12F6-41F9-BB1A-FCAE350E2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14</Pages>
  <Words>4280</Words>
  <Characters>24398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Аналіз регуляторного впливу</vt:lpstr>
      <vt:lpstr>Аналіз регуляторного впливу</vt:lpstr>
    </vt:vector>
  </TitlesOfParts>
  <Company>None</Company>
  <LinksUpToDate>false</LinksUpToDate>
  <CharactersWithSpaces>28621</CharactersWithSpaces>
  <SharedDoc>false</SharedDoc>
  <HLinks>
    <vt:vector size="6" baseType="variant">
      <vt:variant>
        <vt:i4>720912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http://zakon3.rada.gov.ua/laws/show/z1467-15</vt:lpwstr>
      </vt:variant>
      <vt:variant>
        <vt:lpwstr>n216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subject/>
  <dc:creator>PC</dc:creator>
  <cp:keywords/>
  <cp:lastModifiedBy>Михайлов Юрій Миколайович</cp:lastModifiedBy>
  <cp:revision>19</cp:revision>
  <cp:lastPrinted>2020-01-24T08:11:00Z</cp:lastPrinted>
  <dcterms:created xsi:type="dcterms:W3CDTF">2025-03-07T08:35:00Z</dcterms:created>
  <dcterms:modified xsi:type="dcterms:W3CDTF">2025-03-10T11:28:00Z</dcterms:modified>
</cp:coreProperties>
</file>