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AD23A4" w:rsidRPr="003F1532" w:rsidRDefault="003F1532" w:rsidP="003F1532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1532">
        <w:rPr>
          <w:rFonts w:ascii="Times New Roman" w:eastAsia="Calibri" w:hAnsi="Times New Roman" w:cs="Times New Roman"/>
          <w:b/>
          <w:sz w:val="28"/>
          <w:szCs w:val="28"/>
        </w:rPr>
        <w:t xml:space="preserve">Досвід Греції для України - як наблизити сферу управління побутовими відходами до європейських норм </w:t>
      </w:r>
    </w:p>
    <w:p w14:paraId="00000003" w14:textId="77777777" w:rsidR="00AD23A4" w:rsidRPr="003F1532" w:rsidRDefault="00AD23A4" w:rsidP="003F1532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</w:p>
    <w:p w14:paraId="00000004" w14:textId="0C3EAEF9" w:rsidR="00AD23A4" w:rsidRPr="003F1532" w:rsidRDefault="003F1532" w:rsidP="003F1532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3F1532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Європейські країни розпочали рух до зменшення кількості відходів та збільшення обсягів сортування, переробки та повторного використання вже давно. </w:t>
      </w:r>
      <w:r w:rsidRPr="003F1532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Деякі країни Західної Європи, впроваджували сортування ще 40 років тому. Україна також обрала шлях євроінтег</w:t>
      </w:r>
      <w:r w:rsidRPr="003F1532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рації і з ухваленням Верховною Радою України у червні 2022 року рамкового закону «Про управління відходами», </w:t>
      </w:r>
      <w:r w:rsidRPr="003F1532">
        <w:rPr>
          <w:rFonts w:ascii="Times New Roman" w:eastAsia="Calibri" w:hAnsi="Times New Roman" w:cs="Times New Roman"/>
          <w:b/>
          <w:sz w:val="28"/>
          <w:szCs w:val="28"/>
        </w:rPr>
        <w:t>розпочала</w:t>
      </w:r>
      <w:r w:rsidRPr="003F1532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 реформу галузі. І на цьому шляху досвід  наших європейських сусідів корисний для України. Своїм досвідом ділиться Греція, яка у 2004 році</w:t>
      </w:r>
      <w:r w:rsidRPr="003F1532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 мала 3500 несанкціонованих сміттєзвалищ, з яких зараз залишилося лише три</w:t>
      </w:r>
    </w:p>
    <w:p w14:paraId="00000005" w14:textId="77777777" w:rsidR="00AD23A4" w:rsidRPr="003F1532" w:rsidRDefault="00AD23A4" w:rsidP="003F1532">
      <w:pPr>
        <w:spacing w:line="240" w:lineRule="auto"/>
        <w:ind w:firstLine="567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</w:p>
    <w:p w14:paraId="00000006" w14:textId="08855F99" w:rsidR="00AD23A4" w:rsidRPr="003F1532" w:rsidRDefault="003F1532" w:rsidP="003F1532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1532">
        <w:rPr>
          <w:rFonts w:ascii="Times New Roman" w:eastAsia="Calibri" w:hAnsi="Times New Roman" w:cs="Times New Roman"/>
          <w:b/>
          <w:sz w:val="28"/>
          <w:szCs w:val="28"/>
        </w:rPr>
        <w:t xml:space="preserve">Як працює грецьке Міністерство довкілля та енергетики і  </w:t>
      </w:r>
      <w:r w:rsidRPr="003F1532">
        <w:rPr>
          <w:rFonts w:ascii="Times New Roman" w:eastAsia="Calibri" w:hAnsi="Times New Roman" w:cs="Times New Roman"/>
          <w:b/>
          <w:sz w:val="28"/>
          <w:szCs w:val="28"/>
        </w:rPr>
        <w:t>Грецька організація переробки відходів</w:t>
      </w:r>
    </w:p>
    <w:p w14:paraId="00000007" w14:textId="77777777" w:rsidR="00AD23A4" w:rsidRPr="003F1532" w:rsidRDefault="003F1532" w:rsidP="003F1532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sz w:val="28"/>
          <w:szCs w:val="28"/>
        </w:rPr>
        <w:t>Діяльність Міністерства довкілля та енергетики Греції направлена на зменшення</w:t>
      </w:r>
      <w:r w:rsidRPr="003F15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1532">
        <w:rPr>
          <w:rFonts w:ascii="Times New Roman" w:eastAsia="Calibri" w:hAnsi="Times New Roman" w:cs="Times New Roman"/>
          <w:sz w:val="28"/>
          <w:szCs w:val="28"/>
        </w:rPr>
        <w:t>захоронен</w:t>
      </w: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ня відходів. У Греції вже прийнято Національний план управління відходами та Національну програму утворення відходів. </w:t>
      </w:r>
    </w:p>
    <w:p w14:paraId="00000008" w14:textId="77777777" w:rsidR="00AD23A4" w:rsidRPr="003F1532" w:rsidRDefault="003F1532" w:rsidP="003F1532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sz w:val="28"/>
          <w:szCs w:val="28"/>
        </w:rPr>
        <w:t>За кілька років країна планує побудувати всі необхідні заводи для переробки відходів. Зараз вже працюють 12 таких підприємств, ще 25 - бу</w:t>
      </w:r>
      <w:r w:rsidRPr="003F1532">
        <w:rPr>
          <w:rFonts w:ascii="Times New Roman" w:eastAsia="Calibri" w:hAnsi="Times New Roman" w:cs="Times New Roman"/>
          <w:sz w:val="28"/>
          <w:szCs w:val="28"/>
        </w:rPr>
        <w:t>дуються. Ці сміттєпереробні підприємства можуть виробляти також відновлювальне паливо з відходів (RDF), що скоротить обсяги захоронення. На цьому паливі працюватимуть шість сміттєспалювальних заводів, по суті - сучасні ТЕЦ, над організацією будівництва яки</w:t>
      </w:r>
      <w:r w:rsidRPr="003F1532">
        <w:rPr>
          <w:rFonts w:ascii="Times New Roman" w:eastAsia="Calibri" w:hAnsi="Times New Roman" w:cs="Times New Roman"/>
          <w:sz w:val="28"/>
          <w:szCs w:val="28"/>
        </w:rPr>
        <w:t>х вже працює Міністерство.</w:t>
      </w: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 У планах Міністерства - будівництво ще 20 підприємств із переробки відходів та створення об’єктів для захоронення небезпечних відходів, яких у Греції поки що немає, а також -  розвиток системи оброблення медичних відходів.</w:t>
      </w:r>
    </w:p>
    <w:p w14:paraId="00000009" w14:textId="77777777" w:rsidR="00AD23A4" w:rsidRPr="003F1532" w:rsidRDefault="003F1532" w:rsidP="003F1532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sz w:val="28"/>
          <w:szCs w:val="28"/>
        </w:rPr>
        <w:t>Уча</w:t>
      </w:r>
      <w:r w:rsidRPr="003F1532">
        <w:rPr>
          <w:rFonts w:ascii="Times New Roman" w:eastAsia="Calibri" w:hAnsi="Times New Roman" w:cs="Times New Roman"/>
          <w:sz w:val="28"/>
          <w:szCs w:val="28"/>
        </w:rPr>
        <w:t>сники ринку управління відходами реєструються на Електронній платформі обліку відходів, яка складається  реєстру відходів, реєстру біовідходів і реєстру виробників товарів. Зараз в системі зареєстровано 330 муніципалітетів і 8637 підприємств, що надають по</w:t>
      </w: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слуги з управління відходами. </w:t>
      </w:r>
    </w:p>
    <w:p w14:paraId="0000000A" w14:textId="77777777" w:rsidR="00AD23A4" w:rsidRPr="003F1532" w:rsidRDefault="003F1532" w:rsidP="003F1532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sz w:val="28"/>
          <w:szCs w:val="28"/>
        </w:rPr>
        <w:t>У планах Міністерства - будівництво ще 20 підприємств із переробки відходів та створення об’єктів для захоронення небезпечних відходів, яких у Греції поки що немає, а також -  розвиток системи оброблення медичних відходів.</w:t>
      </w:r>
    </w:p>
    <w:p w14:paraId="0000000B" w14:textId="77777777" w:rsidR="00AD23A4" w:rsidRPr="003F1532" w:rsidRDefault="003F1532" w:rsidP="003F1532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3F1532">
        <w:rPr>
          <w:rFonts w:ascii="Times New Roman" w:eastAsia="Calibri" w:hAnsi="Times New Roman" w:cs="Times New Roman"/>
          <w:sz w:val="28"/>
          <w:szCs w:val="28"/>
        </w:rPr>
        <w:t>Греції сьогодні головним органом із впровадження національної стратегії управління відходами, яка направлена на реалізацію принципу розширеної відповідальності виробника, є Грецька організація переробки відходів (EOAN). Це некомерційна організація, юридичн</w:t>
      </w: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а особа приватного права з повною адміністративною та фінансовою автономією. Агенція </w:t>
      </w:r>
      <w:r w:rsidRPr="003F1532">
        <w:rPr>
          <w:rFonts w:ascii="Times New Roman" w:eastAsia="Calibri" w:hAnsi="Times New Roman" w:cs="Times New Roman"/>
          <w:sz w:val="28"/>
          <w:szCs w:val="28"/>
        </w:rPr>
        <w:lastRenderedPageBreak/>
        <w:t>EOAN підпорядковується Міністерству довкілля та енергетики Греції. Запобігання утворенню відходів, розробка та реалізація політики альтернативного поводження з відходами у</w:t>
      </w:r>
      <w:r w:rsidRPr="003F1532">
        <w:rPr>
          <w:rFonts w:ascii="Times New Roman" w:eastAsia="Calibri" w:hAnsi="Times New Roman" w:cs="Times New Roman"/>
          <w:sz w:val="28"/>
          <w:szCs w:val="28"/>
        </w:rPr>
        <w:t>паковки та іншими продуктами, забезпечення співпраці всіх залучених органів, виконання та реалізація національних програм або програм  ЄС, все це - у компетенції  EOAN.</w:t>
      </w:r>
    </w:p>
    <w:p w14:paraId="0000000C" w14:textId="77777777" w:rsidR="00AD23A4" w:rsidRPr="003F1532" w:rsidRDefault="00AD23A4" w:rsidP="003F1532">
      <w:pPr>
        <w:spacing w:line="240" w:lineRule="auto"/>
        <w:ind w:firstLine="567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000000D" w14:textId="77777777" w:rsidR="00AD23A4" w:rsidRPr="003F1532" w:rsidRDefault="003F1532" w:rsidP="003F1532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b/>
          <w:sz w:val="28"/>
          <w:szCs w:val="28"/>
        </w:rPr>
        <w:t>Перевантажувальні станції для побутових відходів, як інструмент для оптимізації процесів та економії коштів</w:t>
      </w:r>
    </w:p>
    <w:p w14:paraId="0000000E" w14:textId="77777777" w:rsidR="00AD23A4" w:rsidRPr="003F1532" w:rsidRDefault="003F1532" w:rsidP="003F1532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Перевантажувальні станції для побутових відходів використовуються у Греції для досягнення найкращого співвідношення ціни та відстані від первинного </w:t>
      </w: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джерела утворення відходів. Наприклад, інтегроване управління відходами на півострові Пелопоннес, де розміщена значна частина інфраструктурних об’єктів, доповнюється двома станціями перевантаження відходів у префектурах Коринф і Арголіда. </w:t>
      </w:r>
    </w:p>
    <w:p w14:paraId="0000000F" w14:textId="77777777" w:rsidR="00AD23A4" w:rsidRPr="003F1532" w:rsidRDefault="003F1532" w:rsidP="003F1532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sz w:val="28"/>
          <w:szCs w:val="28"/>
        </w:rPr>
        <w:t>Одна з таких смі</w:t>
      </w:r>
      <w:r w:rsidRPr="003F1532">
        <w:rPr>
          <w:rFonts w:ascii="Times New Roman" w:eastAsia="Calibri" w:hAnsi="Times New Roman" w:cs="Times New Roman"/>
          <w:sz w:val="28"/>
          <w:szCs w:val="28"/>
        </w:rPr>
        <w:t>ттєперевантажувальних станцій - Terna Energy, спроєктована Enviroplan, грецькою компанією, яка є лідером консорціуму-виконавця проєкту APENA3, який фінансується ЄС. Сміттєперевантажувальна станція знаходиться в неподалік Коринфа за 100 кілометрів від смітт</w:t>
      </w: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єпереробного підприємства. Подібні станції є ефективними, якщо розміщені не далі, ніж 50 кілометрів від місць утворення відходів, або 25 кілометрів у разі, наприклад, складного ландшафту (гірська місцевість, дороги-серпантини, тощо). У Греції, зокрема, на </w:t>
      </w:r>
      <w:r w:rsidRPr="003F1532">
        <w:rPr>
          <w:rFonts w:ascii="Times New Roman" w:eastAsia="Calibri" w:hAnsi="Times New Roman" w:cs="Times New Roman"/>
          <w:sz w:val="28"/>
          <w:szCs w:val="28"/>
        </w:rPr>
        <w:t>Пелопоннесі, таких складних для доступу місцевостей багато.</w:t>
      </w:r>
    </w:p>
    <w:p w14:paraId="00000010" w14:textId="77777777" w:rsidR="00AD23A4" w:rsidRPr="003F1532" w:rsidRDefault="003F1532" w:rsidP="003F1532">
      <w:pPr>
        <w:widowControl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sz w:val="28"/>
          <w:szCs w:val="28"/>
        </w:rPr>
        <w:t>Станція Terna Energy займає територію площею 2 Га, обслуговує до 150 тис осіб, потужність перевантаження - 65 000 тонн відходів на рік. Станція має дворівневе завантаження побутових відходів з 3 п</w:t>
      </w:r>
      <w:r w:rsidRPr="003F1532">
        <w:rPr>
          <w:rFonts w:ascii="Times New Roman" w:eastAsia="Calibri" w:hAnsi="Times New Roman" w:cs="Times New Roman"/>
          <w:sz w:val="28"/>
          <w:szCs w:val="28"/>
        </w:rPr>
        <w:t>риймальниками, а також  10 великогабаритних сміттєвозів (ваговозів), у кожен  з яких входить 5-6 сміттєвозів. Ці ваговози здійснюють пресування побутових відходів і збирання фільтрату в окрему ємність.</w:t>
      </w:r>
    </w:p>
    <w:p w14:paraId="00000011" w14:textId="77777777" w:rsidR="00AD23A4" w:rsidRPr="003F1532" w:rsidRDefault="003F1532" w:rsidP="003F1532">
      <w:pPr>
        <w:widowControl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sz w:val="28"/>
          <w:szCs w:val="28"/>
          <w:highlight w:val="white"/>
        </w:rPr>
        <w:t>“Використання перевантажувальних станцій може бути гар</w:t>
      </w:r>
      <w:r w:rsidRPr="003F153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ним рішенням і для України, каже Олександр Ігнатенко, національний експерт з практики управління відходами проєкту </w:t>
      </w:r>
      <w:r w:rsidRPr="003F1532">
        <w:rPr>
          <w:rFonts w:ascii="Times New Roman" w:eastAsia="Calibri" w:hAnsi="Times New Roman" w:cs="Times New Roman"/>
          <w:sz w:val="28"/>
          <w:szCs w:val="28"/>
        </w:rPr>
        <w:t>APENA3, що фінансується ЄС</w:t>
      </w:r>
      <w:r w:rsidRPr="003F1532">
        <w:rPr>
          <w:rFonts w:ascii="Times New Roman" w:eastAsia="Calibri" w:hAnsi="Times New Roman" w:cs="Times New Roman"/>
          <w:sz w:val="28"/>
          <w:szCs w:val="28"/>
          <w:highlight w:val="white"/>
        </w:rPr>
        <w:t>. - Це дає можливість зекономити кошти у процесі перевезення побутових відходів, зменшуються витрати паливно-мастил</w:t>
      </w:r>
      <w:r w:rsidRPr="003F1532">
        <w:rPr>
          <w:rFonts w:ascii="Times New Roman" w:eastAsia="Calibri" w:hAnsi="Times New Roman" w:cs="Times New Roman"/>
          <w:sz w:val="28"/>
          <w:szCs w:val="28"/>
          <w:highlight w:val="white"/>
        </w:rPr>
        <w:t>ьних матеріалів, зношеність шин,  амортизація наявних у громадах</w:t>
      </w: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 сміттєвозів.</w:t>
      </w:r>
      <w:r w:rsidRPr="003F153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Економія стосується і заробітної плати, податків, тощо.</w:t>
      </w: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 Такі підходи відображені у Методичних рекомендаціях з організації збирання та перевезення побутових відходів. Цей документ</w:t>
      </w: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 ми розробили в рамках проєкту APENA3 і його вже затверджено наказом 23.10.2024 № 1172 Міністерства розвитку громад та територій України”.</w:t>
      </w:r>
    </w:p>
    <w:p w14:paraId="29145647" w14:textId="77777777" w:rsidR="003F1532" w:rsidRDefault="003F1532" w:rsidP="003F1532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000012" w14:textId="54610547" w:rsidR="00AD23A4" w:rsidRPr="003F1532" w:rsidRDefault="003F1532" w:rsidP="003F1532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b/>
          <w:sz w:val="28"/>
          <w:szCs w:val="28"/>
        </w:rPr>
        <w:t>Як працюють та скільки коштують грецькі підприємства механіко-біологічної обробки побутових відходів</w:t>
      </w:r>
    </w:p>
    <w:p w14:paraId="00000013" w14:textId="77777777" w:rsidR="00AD23A4" w:rsidRPr="003F1532" w:rsidRDefault="003F1532" w:rsidP="003F1532">
      <w:pPr>
        <w:widowControl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sz w:val="28"/>
          <w:szCs w:val="28"/>
        </w:rPr>
        <w:lastRenderedPageBreak/>
        <w:t>Пелопоннес, це о</w:t>
      </w:r>
      <w:r w:rsidRPr="003F1532">
        <w:rPr>
          <w:rFonts w:ascii="Times New Roman" w:eastAsia="Calibri" w:hAnsi="Times New Roman" w:cs="Times New Roman"/>
          <w:sz w:val="28"/>
          <w:szCs w:val="28"/>
        </w:rPr>
        <w:t>дин з найбільш відомих у світі та відвідуваних туристами регіонів Греції. Адже саме тут знаходяться безцінні об’єкти світової культурної спадщини такі, як древня Олімпія, де проходили Олімпійські ігри, стародавня Спарта, давньогрецьке місто Мікени, яке від</w:t>
      </w: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крив німецький першовідкривач Генріх Шліман, який перед тим знайшов легендарне місто Трою. </w:t>
      </w:r>
    </w:p>
    <w:p w14:paraId="00000014" w14:textId="77777777" w:rsidR="00AD23A4" w:rsidRPr="003F1532" w:rsidRDefault="003F1532" w:rsidP="003F1532">
      <w:pPr>
        <w:widowControl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sz w:val="28"/>
          <w:szCs w:val="28"/>
        </w:rPr>
        <w:t>І саме цей регіон, який є скарбницею давньогрецького спадку, ще донедавна найбільше  потерпав від забруднення довкілля відходами, оскільки тут було розміщено 95 нес</w:t>
      </w: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анкціонованих сміттєзвалищ, за що Євросоюз щорічно накладав штрафи на Грецію. </w:t>
      </w:r>
    </w:p>
    <w:p w14:paraId="00000015" w14:textId="77777777" w:rsidR="00AD23A4" w:rsidRPr="003F1532" w:rsidRDefault="003F1532" w:rsidP="003F1532">
      <w:pPr>
        <w:widowControl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sz w:val="28"/>
          <w:szCs w:val="28"/>
        </w:rPr>
        <w:t>Зараз інтегрованим управлінням відходами Пелопоннесу займається проєкт TERNA ENERGY, який є зразком державно-приватного партнерства. Проєкт опікується захистом довкілля та якіст</w:t>
      </w:r>
      <w:r w:rsidRPr="003F1532">
        <w:rPr>
          <w:rFonts w:ascii="Times New Roman" w:eastAsia="Calibri" w:hAnsi="Times New Roman" w:cs="Times New Roman"/>
          <w:sz w:val="28"/>
          <w:szCs w:val="28"/>
        </w:rPr>
        <w:t>ю життя людей, які мешкають в Коринфі, Арголіді, Аркадії, Мессінії та Лаконії (міста на півострові Пелопоннес), сприяє розвитку циркулярної економіки, протидії змінам клімату, розвитку вторинної переробки відходів та компостуванню, підвищенню обізнаності н</w:t>
      </w: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аселення. Всі підприємства TERNA ENERGY виробляють чисту енергію, необхідну для їхньої роботи. Також, ліквідуючи неконтрольовані звалища та збільшуючи обсяги переробки відходів, цей проєкт допомагає уникнути штрафів з боку Євросоюзу.  </w:t>
      </w:r>
    </w:p>
    <w:p w14:paraId="00000016" w14:textId="77777777" w:rsidR="00AD23A4" w:rsidRPr="003F1532" w:rsidRDefault="003F1532" w:rsidP="003F1532">
      <w:pPr>
        <w:widowControl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sz w:val="28"/>
          <w:szCs w:val="28"/>
        </w:rPr>
        <w:t>Ще одне підприємство</w:t>
      </w: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 на ринку управління відходами - сміттєпереробний завод Geocycle в регіоні Аттика, що належить компанії  Holsin Group, яка працює в 72 країнах. Окрім заводу механіко-біологічної обробки з аеробним компостуванням, компанія володіє установками з рекуперації </w:t>
      </w: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матеріалів, термічної обробки медичних відходів та займається рекультивацією звалищ. </w:t>
      </w:r>
    </w:p>
    <w:p w14:paraId="00000017" w14:textId="77777777" w:rsidR="00AD23A4" w:rsidRPr="003F1532" w:rsidRDefault="003F1532" w:rsidP="003F1532">
      <w:pPr>
        <w:widowControl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sz w:val="28"/>
          <w:szCs w:val="28"/>
        </w:rPr>
        <w:t>Компанія Geocycle працює з ресурсоцінними відходами, які збираються в блакитні контейнери в 30 муніципалітетах регіону Аттика, а також здійснює компостування біовідходів.</w:t>
      </w: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 На заводі працює 75 осіб, це приблизно 24 особи в кожну зміну. Компанія має власний парк сміттєвозів, і здійснює збирання та перевезення побутових відходів, у тому числі, від великих підприємств, таких, як аеропорти, готелі, торговельні центри.</w:t>
      </w:r>
    </w:p>
    <w:p w14:paraId="00000018" w14:textId="77777777" w:rsidR="00AD23A4" w:rsidRPr="003F1532" w:rsidRDefault="003F1532" w:rsidP="003F1532">
      <w:pPr>
        <w:widowControl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sz w:val="28"/>
          <w:szCs w:val="28"/>
        </w:rPr>
        <w:t>Підприємст</w:t>
      </w:r>
      <w:r w:rsidRPr="003F1532">
        <w:rPr>
          <w:rFonts w:ascii="Times New Roman" w:eastAsia="Calibri" w:hAnsi="Times New Roman" w:cs="Times New Roman"/>
          <w:sz w:val="28"/>
          <w:szCs w:val="28"/>
        </w:rPr>
        <w:t>во є сучасним сміттєсортувальним об’єктом (MRF – Material Recovery Facility) загальною потужністю переробки відходів 140 000 тонн на рік. Тут упродовж року відсортовується 80 000 тонн ресурсоцінних відходів, здійснюється компостування 3000 тонн біовідходів</w:t>
      </w: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, виробляється 20 000 тонн SRF-палива, яке використовуються на цементних заводах материнської компанії  Holsin Group.  18-20% залишків відходів підлягає захороненню. </w:t>
      </w:r>
    </w:p>
    <w:p w14:paraId="00000019" w14:textId="77777777" w:rsidR="00AD23A4" w:rsidRPr="003F1532" w:rsidRDefault="003F1532" w:rsidP="003F1532">
      <w:pPr>
        <w:widowControl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sz w:val="28"/>
          <w:szCs w:val="28"/>
        </w:rPr>
        <w:t>При механічному сортуванні застосовується сучасне обладнання. Наприклад, оптичний сепаратор за допомогою спектру довжини хвиль сканує і розрізняє різні види матеріалів, і завдяки повітряному удару у 8 Бар, відсортовує їх. Відсортовані високоякісні ресурсоц</w:t>
      </w: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інні відходи (усього </w:t>
      </w:r>
      <w:r w:rsidRPr="003F153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16 категорій) продаються всередині країни і за кордон - в Болгарію, Італію, Румунію, Нідерланди, Іспанію, Індію, Малайзію та В'єтнам. </w:t>
      </w:r>
    </w:p>
    <w:p w14:paraId="0000001A" w14:textId="77777777" w:rsidR="00AD23A4" w:rsidRPr="003F1532" w:rsidRDefault="003F1532" w:rsidP="003F1532">
      <w:pPr>
        <w:widowControl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На заводі працює 8 біореакторів без вилучення біогазу на енергетичні потреби. В біореакторі завдяки </w:t>
      </w:r>
      <w:r w:rsidRPr="003F1532">
        <w:rPr>
          <w:rFonts w:ascii="Times New Roman" w:eastAsia="Calibri" w:hAnsi="Times New Roman" w:cs="Times New Roman"/>
          <w:sz w:val="28"/>
          <w:szCs w:val="28"/>
        </w:rPr>
        <w:t>мікроорганізмам, що виділяють тепло, створюється температура 40-50° C, і таким чином відбувається природне висушування органічної частини.</w:t>
      </w:r>
    </w:p>
    <w:p w14:paraId="0000001B" w14:textId="77777777" w:rsidR="00AD23A4" w:rsidRPr="003F1532" w:rsidRDefault="003F1532" w:rsidP="003F1532">
      <w:pPr>
        <w:widowControl w:val="0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sz w:val="28"/>
          <w:szCs w:val="28"/>
        </w:rPr>
        <w:t>Що стосується інвестицій у підприємства механіко-біологічної обробки відходів у Греції, зокрема, на Пелопоннесі, то к</w:t>
      </w: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апітальні вкладення складають, в середньому, від 30 мільйонів Євро для підприємства потужністю від 80 000 тонн на рік. Плата за  приймання відходів на таких підприємствах коливається від 35-38 Євро за тонну при великих обсягах і від 60 Євро за тонну - при </w:t>
      </w: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менших. На різних підприємствах ці дані можуть відрізнятися. </w:t>
      </w:r>
    </w:p>
    <w:p w14:paraId="0000001C" w14:textId="77777777" w:rsidR="00AD23A4" w:rsidRPr="003F1532" w:rsidRDefault="003F1532" w:rsidP="003F1532">
      <w:pPr>
        <w:widowControl w:val="0"/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1532">
        <w:rPr>
          <w:rFonts w:ascii="Times New Roman" w:eastAsia="Calibri" w:hAnsi="Times New Roman" w:cs="Times New Roman"/>
          <w:sz w:val="28"/>
          <w:szCs w:val="28"/>
        </w:rPr>
        <w:t>Рекультивацією старих звалищ та відпрацьованих полігонів, як і доглядом за ними, займаються компанії, які здійснюють комплексне інтегроване управління відходами. Як правило, полігони для захорон</w:t>
      </w:r>
      <w:r w:rsidRPr="003F1532">
        <w:rPr>
          <w:rFonts w:ascii="Times New Roman" w:eastAsia="Calibri" w:hAnsi="Times New Roman" w:cs="Times New Roman"/>
          <w:sz w:val="28"/>
          <w:szCs w:val="28"/>
        </w:rPr>
        <w:t>ення залишків знаходяться при підприємствах механіко-біологічної обробки відходів. Для старих рекультивованих звалищ та полігонів управляючі компанії знаходять нові рішення. Площа цих об’єктів та їх місцезнаходження і велика кількість сонячних днів у Греці</w:t>
      </w:r>
      <w:r w:rsidRPr="003F1532">
        <w:rPr>
          <w:rFonts w:ascii="Times New Roman" w:eastAsia="Calibri" w:hAnsi="Times New Roman" w:cs="Times New Roman"/>
          <w:sz w:val="28"/>
          <w:szCs w:val="28"/>
        </w:rPr>
        <w:t>ї дозволяє будувати там майданчики для сонячної енергетики. Це гарне рішення, яке цілком може слугувати прикладом для подальшого використання рекультивованих місць захоронення відходів і в Україні.</w:t>
      </w:r>
    </w:p>
    <w:p w14:paraId="0000001D" w14:textId="77777777" w:rsidR="00AD23A4" w:rsidRPr="003F1532" w:rsidRDefault="003F1532" w:rsidP="003F1532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sz w:val="28"/>
          <w:szCs w:val="28"/>
        </w:rPr>
        <w:t>Досвід Греції у сфері управління відходами може бути викор</w:t>
      </w:r>
      <w:r w:rsidRPr="003F1532">
        <w:rPr>
          <w:rFonts w:ascii="Times New Roman" w:eastAsia="Calibri" w:hAnsi="Times New Roman" w:cs="Times New Roman"/>
          <w:sz w:val="28"/>
          <w:szCs w:val="28"/>
        </w:rPr>
        <w:t>истаний Україною  для формування та реалізації політики на національному рівні, удосконаленні нормативно-правової бази у сфері управління побутовими відходами, імплементації національного законодавства на регіональному та місцевому рівні, впровадження інфр</w:t>
      </w: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аструктурних проєктів із збирання, перевезення, відновлення та видалення побутових відходів. Цей досвід також допоможе Міністерству розвитку громад та територій  в удосконаленні нормативно-правової бази у сфері управління побутовими відходами. </w:t>
      </w:r>
    </w:p>
    <w:p w14:paraId="0000001E" w14:textId="77777777" w:rsidR="00AD23A4" w:rsidRPr="003F1532" w:rsidRDefault="003F1532" w:rsidP="003F1532">
      <w:pPr>
        <w:widowControl w:val="0"/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sz w:val="28"/>
          <w:szCs w:val="28"/>
        </w:rPr>
        <w:t>Під час обм</w:t>
      </w: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іну досвідом з Грецією було приділено увагу імплементації наступних Євродиректив: </w:t>
      </w:r>
    </w:p>
    <w:p w14:paraId="0000001F" w14:textId="77777777" w:rsidR="00AD23A4" w:rsidRPr="003F1532" w:rsidRDefault="003F1532" w:rsidP="003F1532">
      <w:pPr>
        <w:widowControl w:val="0"/>
        <w:numPr>
          <w:ilvl w:val="0"/>
          <w:numId w:val="1"/>
        </w:numPr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sz w:val="28"/>
          <w:szCs w:val="28"/>
        </w:rPr>
        <w:t>Рамкової Директиви № 2008/98/ЄС Європейського парламенту та Ради від 19 листопада 2008 р. «Про відходи та скасування деяких директив»;</w:t>
      </w:r>
    </w:p>
    <w:p w14:paraId="00000020" w14:textId="77777777" w:rsidR="00AD23A4" w:rsidRPr="003F1532" w:rsidRDefault="003F1532" w:rsidP="003F1532">
      <w:pPr>
        <w:widowControl w:val="0"/>
        <w:numPr>
          <w:ilvl w:val="0"/>
          <w:numId w:val="1"/>
        </w:numPr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Директиви Ради </w:t>
      </w:r>
      <w:hyperlink r:id="rId5">
        <w:r w:rsidRPr="003F1532">
          <w:rPr>
            <w:rFonts w:ascii="Times New Roman" w:eastAsia="Calibri" w:hAnsi="Times New Roman" w:cs="Times New Roman"/>
            <w:sz w:val="28"/>
            <w:szCs w:val="28"/>
          </w:rPr>
          <w:t>№ 1999/31/ЄС</w:t>
        </w:r>
      </w:hyperlink>
      <w:r w:rsidRPr="003F1532">
        <w:rPr>
          <w:rFonts w:ascii="Times New Roman" w:eastAsia="Calibri" w:hAnsi="Times New Roman" w:cs="Times New Roman"/>
          <w:sz w:val="28"/>
          <w:szCs w:val="28"/>
        </w:rPr>
        <w:t> від 26 квітня 1999 р. «Про захоронення відходів»;</w:t>
      </w:r>
    </w:p>
    <w:p w14:paraId="00000021" w14:textId="77777777" w:rsidR="00AD23A4" w:rsidRPr="003F1532" w:rsidRDefault="003F1532" w:rsidP="003F1532">
      <w:pPr>
        <w:widowControl w:val="0"/>
        <w:numPr>
          <w:ilvl w:val="0"/>
          <w:numId w:val="1"/>
        </w:numPr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Директиви </w:t>
      </w:r>
      <w:hyperlink r:id="rId6">
        <w:r w:rsidRPr="003F1532">
          <w:rPr>
            <w:rFonts w:ascii="Times New Roman" w:eastAsia="Calibri" w:hAnsi="Times New Roman" w:cs="Times New Roman"/>
            <w:sz w:val="28"/>
            <w:szCs w:val="28"/>
          </w:rPr>
          <w:t>94/62/ЄС</w:t>
        </w:r>
      </w:hyperlink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 Європейського парламенту та Ради від 20 грудня 1994 р. «Про упаковку та відходи упаковки»;</w:t>
      </w:r>
    </w:p>
    <w:p w14:paraId="00000022" w14:textId="77777777" w:rsidR="00AD23A4" w:rsidRPr="003F1532" w:rsidRDefault="003F1532" w:rsidP="003F1532">
      <w:pPr>
        <w:widowControl w:val="0"/>
        <w:numPr>
          <w:ilvl w:val="0"/>
          <w:numId w:val="1"/>
        </w:numPr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sz w:val="28"/>
          <w:szCs w:val="28"/>
        </w:rPr>
        <w:t xml:space="preserve">Директиви 2012/19/ЄС Європейського парламенту та Ради від 4 липня 2012 р. «Про відходи електричного та електронного </w:t>
      </w:r>
      <w:r w:rsidRPr="003F1532">
        <w:rPr>
          <w:rFonts w:ascii="Times New Roman" w:eastAsia="Calibri" w:hAnsi="Times New Roman" w:cs="Times New Roman"/>
          <w:sz w:val="28"/>
          <w:szCs w:val="28"/>
        </w:rPr>
        <w:lastRenderedPageBreak/>
        <w:t>обладнання (ВЕЕО)»;</w:t>
      </w:r>
    </w:p>
    <w:p w14:paraId="00000023" w14:textId="77777777" w:rsidR="00AD23A4" w:rsidRPr="003F1532" w:rsidRDefault="003F1532" w:rsidP="003F1532">
      <w:pPr>
        <w:widowControl w:val="0"/>
        <w:numPr>
          <w:ilvl w:val="0"/>
          <w:numId w:val="1"/>
        </w:numPr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532">
        <w:rPr>
          <w:rFonts w:ascii="Times New Roman" w:eastAsia="Calibri" w:hAnsi="Times New Roman" w:cs="Times New Roman"/>
          <w:sz w:val="28"/>
          <w:szCs w:val="28"/>
        </w:rPr>
        <w:t>Директиви 2006/66/ЄC Європей</w:t>
      </w:r>
      <w:r w:rsidRPr="003F1532">
        <w:rPr>
          <w:rFonts w:ascii="Times New Roman" w:eastAsia="Calibri" w:hAnsi="Times New Roman" w:cs="Times New Roman"/>
          <w:sz w:val="28"/>
          <w:szCs w:val="28"/>
        </w:rPr>
        <w:t>ського парламенту та Ради від 6 вересня 2006 р. «Про батарейки і акумулятори та відпрацьовані батарейки і акумулятори».</w:t>
      </w:r>
    </w:p>
    <w:p w14:paraId="00000024" w14:textId="77777777" w:rsidR="00AD23A4" w:rsidRPr="003F1532" w:rsidRDefault="00AD23A4" w:rsidP="003F1532">
      <w:pPr>
        <w:widowControl w:val="0"/>
        <w:shd w:val="clear" w:color="auto" w:fill="FFFFFF"/>
        <w:spacing w:line="240" w:lineRule="auto"/>
        <w:ind w:left="7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000025" w14:textId="77777777" w:rsidR="00AD23A4" w:rsidRPr="003F1532" w:rsidRDefault="003F1532" w:rsidP="003F1532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F1532">
        <w:rPr>
          <w:rFonts w:ascii="Times New Roman" w:eastAsia="Calibri" w:hAnsi="Times New Roman" w:cs="Times New Roman"/>
          <w:b/>
          <w:i/>
          <w:sz w:val="28"/>
          <w:szCs w:val="28"/>
        </w:rPr>
        <w:t>Матеріал підготовлено за результатами навчального туру до Греції ( півострів Пелопоннес і регіон Аттика) для представників Міністерства</w:t>
      </w:r>
      <w:r w:rsidRPr="003F153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</w:t>
      </w:r>
      <w:bookmarkStart w:id="0" w:name="_GoBack"/>
      <w:bookmarkEnd w:id="0"/>
      <w:r w:rsidRPr="003F1532">
        <w:rPr>
          <w:rFonts w:ascii="Times New Roman" w:eastAsia="Calibri" w:hAnsi="Times New Roman" w:cs="Times New Roman"/>
          <w:b/>
          <w:i/>
          <w:sz w:val="28"/>
          <w:szCs w:val="28"/>
        </w:rPr>
        <w:t>озвитку громад та територій України та для експертів проєкту APENA3. Поїздка була організована та профінансована ЄС.</w:t>
      </w:r>
    </w:p>
    <w:p w14:paraId="00000026" w14:textId="77777777" w:rsidR="00AD23A4" w:rsidRDefault="00AD23A4">
      <w:pPr>
        <w:rPr>
          <w:rFonts w:ascii="Calibri" w:eastAsia="Calibri" w:hAnsi="Calibri" w:cs="Calibri"/>
          <w:b/>
          <w:i/>
          <w:sz w:val="24"/>
          <w:szCs w:val="24"/>
        </w:rPr>
      </w:pPr>
    </w:p>
    <w:p w14:paraId="00000027" w14:textId="77777777" w:rsidR="00AD23A4" w:rsidRDefault="00AD23A4">
      <w:pPr>
        <w:rPr>
          <w:rFonts w:ascii="Calibri" w:eastAsia="Calibri" w:hAnsi="Calibri" w:cs="Calibri"/>
          <w:b/>
          <w:i/>
          <w:sz w:val="24"/>
          <w:szCs w:val="24"/>
        </w:rPr>
      </w:pPr>
    </w:p>
    <w:p w14:paraId="00000028" w14:textId="77777777" w:rsidR="00AD23A4" w:rsidRDefault="00AD23A4">
      <w:pPr>
        <w:widowControl w:val="0"/>
        <w:shd w:val="clear" w:color="auto" w:fill="FFFFFF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29" w14:textId="77777777" w:rsidR="00AD23A4" w:rsidRDefault="00AD23A4">
      <w:pPr>
        <w:widowControl w:val="0"/>
        <w:shd w:val="clear" w:color="auto" w:fill="FFFFFF"/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2A" w14:textId="77777777" w:rsidR="00AD23A4" w:rsidRDefault="00AD23A4">
      <w:pPr>
        <w:widowControl w:val="0"/>
        <w:shd w:val="clear" w:color="auto" w:fill="FFFFFF"/>
        <w:spacing w:before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2B" w14:textId="77777777" w:rsidR="00AD23A4" w:rsidRDefault="00AD23A4">
      <w:pPr>
        <w:rPr>
          <w:rFonts w:ascii="Calibri" w:eastAsia="Calibri" w:hAnsi="Calibri" w:cs="Calibri"/>
          <w:sz w:val="26"/>
          <w:szCs w:val="26"/>
        </w:rPr>
      </w:pPr>
    </w:p>
    <w:sectPr w:rsidR="00AD23A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B1348"/>
    <w:multiLevelType w:val="multilevel"/>
    <w:tmpl w:val="A94067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A4"/>
    <w:rsid w:val="00090AF4"/>
    <w:rsid w:val="003F1532"/>
    <w:rsid w:val="00A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D72A"/>
  <w15:docId w15:val="{C5785E13-433F-45DA-B90F-00D00F54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90A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94_b05" TargetMode="External"/><Relationship Id="rId5" Type="http://schemas.openxmlformats.org/officeDocument/2006/relationships/hyperlink" Target="https://zakon.rada.gov.ua/laws/show/994_9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6998</Words>
  <Characters>3990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Новікова Діана Євгеніївна</dc:creator>
  <cp:lastModifiedBy>Новікова Діана Євгеніївна</cp:lastModifiedBy>
  <cp:revision>3</cp:revision>
  <dcterms:created xsi:type="dcterms:W3CDTF">2025-03-31T11:05:00Z</dcterms:created>
  <dcterms:modified xsi:type="dcterms:W3CDTF">2025-03-31T11:07:00Z</dcterms:modified>
</cp:coreProperties>
</file>