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6F" w:rsidRPr="00925993" w:rsidRDefault="0018626F" w:rsidP="005B359E">
      <w:pPr>
        <w:rPr>
          <w:rFonts w:ascii="Times New Roman" w:hAnsi="Times New Roman"/>
          <w:b/>
          <w:sz w:val="16"/>
          <w:szCs w:val="16"/>
        </w:rPr>
      </w:pPr>
    </w:p>
    <w:p w:rsidR="0018626F" w:rsidRPr="00CC2A94" w:rsidRDefault="0018626F" w:rsidP="005B359E">
      <w:pPr>
        <w:jc w:val="center"/>
        <w:rPr>
          <w:rFonts w:ascii="Times New Roman" w:hAnsi="Times New Roman"/>
          <w:b/>
          <w:sz w:val="28"/>
          <w:szCs w:val="28"/>
        </w:rPr>
      </w:pPr>
      <w:r w:rsidRPr="00CC2A94">
        <w:rPr>
          <w:rFonts w:ascii="Times New Roman" w:hAnsi="Times New Roman"/>
          <w:b/>
          <w:sz w:val="28"/>
          <w:szCs w:val="28"/>
        </w:rPr>
        <w:t>ПЛАН ЗАХОДІВ</w:t>
      </w:r>
    </w:p>
    <w:p w:rsidR="00166B51" w:rsidRPr="00166B51" w:rsidRDefault="0018626F" w:rsidP="00166B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CC2A94">
        <w:rPr>
          <w:rFonts w:ascii="Times New Roman" w:hAnsi="Times New Roman"/>
          <w:b/>
          <w:sz w:val="28"/>
          <w:szCs w:val="28"/>
          <w:lang w:eastAsia="uk-UA"/>
        </w:rPr>
        <w:t>з реалізації Висновків щодо ефективного оновлення та технічного обслуговування інфраструктури водного транспорту на р. Дунай та його судноплавних притоках</w:t>
      </w:r>
      <w:r w:rsidR="00166B51" w:rsidRPr="00166B51">
        <w:rPr>
          <w:rFonts w:ascii="Times New Roman" w:hAnsi="Times New Roman"/>
          <w:b/>
          <w:sz w:val="28"/>
          <w:szCs w:val="28"/>
          <w:lang w:eastAsia="uk-UA"/>
        </w:rPr>
        <w:t xml:space="preserve">, </w:t>
      </w:r>
      <w:r w:rsidR="00166B51">
        <w:rPr>
          <w:rFonts w:ascii="Times New Roman" w:hAnsi="Times New Roman"/>
          <w:b/>
          <w:sz w:val="28"/>
          <w:szCs w:val="28"/>
          <w:lang w:eastAsia="uk-UA"/>
        </w:rPr>
        <w:t xml:space="preserve">підписаних </w:t>
      </w:r>
      <w:r w:rsidR="00BE70E3" w:rsidRPr="00166B51">
        <w:rPr>
          <w:rFonts w:ascii="Times New Roman" w:hAnsi="Times New Roman"/>
          <w:b/>
          <w:sz w:val="28"/>
          <w:szCs w:val="28"/>
          <w:lang w:eastAsia="uk-UA"/>
        </w:rPr>
        <w:t>03.12.2014</w:t>
      </w:r>
      <w:r w:rsidR="00166B51" w:rsidRPr="00166B51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166B51">
        <w:rPr>
          <w:rFonts w:ascii="Times New Roman" w:hAnsi="Times New Roman"/>
          <w:b/>
          <w:sz w:val="28"/>
          <w:szCs w:val="28"/>
          <w:lang w:eastAsia="uk-UA"/>
        </w:rPr>
        <w:t xml:space="preserve">у </w:t>
      </w:r>
      <w:r w:rsidR="00BE70E3" w:rsidRPr="00166B51">
        <w:rPr>
          <w:rFonts w:ascii="Times New Roman" w:hAnsi="Times New Roman"/>
          <w:b/>
          <w:sz w:val="28"/>
          <w:szCs w:val="28"/>
          <w:lang w:eastAsia="uk-UA"/>
        </w:rPr>
        <w:t>м. Брюссель</w:t>
      </w:r>
      <w:r w:rsidR="00166B5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66B51" w:rsidRPr="00166B51" w:rsidRDefault="00166B51" w:rsidP="00166B51">
      <w:pPr>
        <w:spacing w:after="0" w:line="240" w:lineRule="auto"/>
        <w:jc w:val="center"/>
        <w:rPr>
          <w:rFonts w:asciiTheme="minorHAnsi" w:eastAsia="Times New Roman Bold" w:hAnsiTheme="minorHAnsi" w:cs="Times New Roman Bold"/>
          <w:sz w:val="28"/>
          <w:szCs w:val="28"/>
        </w:rPr>
      </w:pPr>
      <w:r w:rsidRPr="00166B51">
        <w:rPr>
          <w:rFonts w:ascii="Times New Roman" w:hAnsi="Times New Roman"/>
          <w:i/>
          <w:sz w:val="28"/>
          <w:szCs w:val="28"/>
          <w:lang w:eastAsia="uk-UA"/>
        </w:rPr>
        <w:t>(</w:t>
      </w:r>
      <w:r w:rsidRPr="00166B51">
        <w:rPr>
          <w:rFonts w:ascii="Times New Roman"/>
          <w:bCs/>
          <w:i/>
          <w:iCs/>
          <w:sz w:val="28"/>
          <w:szCs w:val="28"/>
          <w:lang w:val="en-US"/>
        </w:rPr>
        <w:t>Conclusions</w:t>
      </w:r>
      <w:r w:rsidRPr="00166B51">
        <w:rPr>
          <w:rFonts w:ascii="Times New Roman"/>
          <w:bCs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bCs/>
          <w:i/>
          <w:iCs/>
          <w:sz w:val="28"/>
          <w:szCs w:val="28"/>
          <w:lang w:val="en-US"/>
        </w:rPr>
        <w:t>o</w:t>
      </w:r>
      <w:r w:rsidRPr="00166B51">
        <w:rPr>
          <w:rFonts w:ascii="Times New Roman"/>
          <w:i/>
          <w:iCs/>
          <w:sz w:val="28"/>
          <w:szCs w:val="28"/>
          <w:lang w:val="en-US"/>
        </w:rPr>
        <w:t>n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effective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waterway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infrastructure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rehabilitation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and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maintenance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on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the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Danube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and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its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navigable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/>
          <w:i/>
          <w:iCs/>
          <w:sz w:val="28"/>
          <w:szCs w:val="28"/>
          <w:lang w:val="en-US"/>
        </w:rPr>
        <w:t>tributaries</w:t>
      </w:r>
      <w:r w:rsidRPr="00166B51">
        <w:rPr>
          <w:rFonts w:ascii="Times New Roman"/>
          <w:i/>
          <w:iCs/>
          <w:sz w:val="28"/>
          <w:szCs w:val="28"/>
        </w:rPr>
        <w:t xml:space="preserve">, </w:t>
      </w:r>
      <w:r>
        <w:rPr>
          <w:rFonts w:ascii="Times New Roman"/>
          <w:i/>
          <w:iCs/>
          <w:sz w:val="28"/>
          <w:szCs w:val="28"/>
          <w:lang w:val="en-US"/>
        </w:rPr>
        <w:t>signed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>
        <w:rPr>
          <w:rFonts w:ascii="Times New Roman"/>
          <w:i/>
          <w:iCs/>
          <w:sz w:val="28"/>
          <w:szCs w:val="28"/>
          <w:lang w:val="en-US"/>
        </w:rPr>
        <w:t>on</w:t>
      </w:r>
      <w:r w:rsidRPr="00166B51">
        <w:rPr>
          <w:rFonts w:ascii="Times New Roman"/>
          <w:i/>
          <w:iCs/>
          <w:sz w:val="28"/>
          <w:szCs w:val="28"/>
        </w:rPr>
        <w:t xml:space="preserve"> </w:t>
      </w:r>
      <w:r w:rsidRPr="00166B51">
        <w:rPr>
          <w:rFonts w:ascii="Times New Roman" w:hAnsi="Times New Roman"/>
          <w:i/>
          <w:sz w:val="28"/>
          <w:szCs w:val="28"/>
          <w:lang w:eastAsia="uk-UA"/>
        </w:rPr>
        <w:t xml:space="preserve">03.12.2014 </w:t>
      </w:r>
      <w:r>
        <w:rPr>
          <w:rFonts w:ascii="Times New Roman" w:hAnsi="Times New Roman"/>
          <w:i/>
          <w:sz w:val="28"/>
          <w:szCs w:val="28"/>
          <w:lang w:val="en-US" w:eastAsia="uk-UA"/>
        </w:rPr>
        <w:t>in</w:t>
      </w:r>
      <w:r w:rsidRPr="00166B51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eastAsia="uk-UA"/>
        </w:rPr>
        <w:t>Brussels</w:t>
      </w:r>
      <w:r w:rsidRPr="00166B51">
        <w:rPr>
          <w:rFonts w:asciiTheme="minorHAnsi" w:hAnsiTheme="minorHAnsi"/>
          <w:i/>
          <w:sz w:val="28"/>
          <w:szCs w:val="28"/>
        </w:rPr>
        <w:t>)</w:t>
      </w:r>
    </w:p>
    <w:p w:rsidR="00BE70E3" w:rsidRPr="00925993" w:rsidRDefault="00BE70E3" w:rsidP="005B35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25993" w:rsidRPr="00925993" w:rsidRDefault="00925993" w:rsidP="009259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993">
        <w:rPr>
          <w:rFonts w:ascii="Times New Roman" w:hAnsi="Times New Roman"/>
          <w:b/>
          <w:sz w:val="28"/>
          <w:szCs w:val="28"/>
        </w:rPr>
        <w:t>Мета:</w:t>
      </w:r>
    </w:p>
    <w:p w:rsidR="0018626F" w:rsidRPr="00592CE3" w:rsidRDefault="00BE70E3" w:rsidP="0092599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92CE3">
        <w:rPr>
          <w:rFonts w:ascii="Times New Roman" w:hAnsi="Times New Roman"/>
          <w:sz w:val="28"/>
          <w:szCs w:val="28"/>
        </w:rPr>
        <w:t xml:space="preserve">План заходів розроблено </w:t>
      </w:r>
      <w:r w:rsidR="00166B51" w:rsidRPr="00592CE3">
        <w:rPr>
          <w:rStyle w:val="hps"/>
          <w:rFonts w:ascii="Times New Roman" w:hAnsi="Times New Roman"/>
          <w:sz w:val="28"/>
          <w:szCs w:val="28"/>
        </w:rPr>
        <w:t xml:space="preserve">з метою </w:t>
      </w:r>
      <w:r w:rsidR="00592CE3">
        <w:rPr>
          <w:rStyle w:val="hps"/>
          <w:rFonts w:ascii="Times New Roman" w:hAnsi="Times New Roman"/>
          <w:sz w:val="28"/>
          <w:szCs w:val="28"/>
        </w:rPr>
        <w:t>виконання</w:t>
      </w:r>
      <w:r w:rsidR="00166B51" w:rsidRPr="00592CE3">
        <w:rPr>
          <w:rStyle w:val="hps"/>
          <w:rFonts w:ascii="Times New Roman" w:hAnsi="Times New Roman"/>
          <w:sz w:val="28"/>
          <w:szCs w:val="28"/>
        </w:rPr>
        <w:t xml:space="preserve"> заходів</w:t>
      </w:r>
      <w:r w:rsidR="00925993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166B51" w:rsidRPr="00592CE3">
        <w:rPr>
          <w:rFonts w:ascii="Times New Roman" w:hAnsi="Times New Roman"/>
          <w:sz w:val="28"/>
          <w:szCs w:val="28"/>
        </w:rPr>
        <w:t xml:space="preserve">визначених </w:t>
      </w:r>
      <w:r w:rsidR="00166B51" w:rsidRPr="00592CE3">
        <w:rPr>
          <w:rStyle w:val="hps"/>
          <w:rFonts w:ascii="Times New Roman" w:hAnsi="Times New Roman"/>
          <w:sz w:val="28"/>
          <w:szCs w:val="28"/>
        </w:rPr>
        <w:t>у</w:t>
      </w:r>
      <w:r w:rsidR="00166B51" w:rsidRPr="00592CE3">
        <w:rPr>
          <w:rFonts w:ascii="Times New Roman" w:hAnsi="Times New Roman"/>
          <w:sz w:val="28"/>
          <w:szCs w:val="28"/>
        </w:rPr>
        <w:t xml:space="preserve"> </w:t>
      </w:r>
      <w:r w:rsidR="00166B51" w:rsidRPr="00592CE3">
        <w:rPr>
          <w:rStyle w:val="hps"/>
          <w:rFonts w:ascii="Times New Roman" w:hAnsi="Times New Roman"/>
          <w:sz w:val="28"/>
          <w:szCs w:val="28"/>
        </w:rPr>
        <w:t>Майстер-плані</w:t>
      </w:r>
      <w:r w:rsidR="00592CE3" w:rsidRPr="00592CE3">
        <w:rPr>
          <w:rStyle w:val="hps"/>
          <w:rFonts w:ascii="Times New Roman" w:hAnsi="Times New Roman"/>
          <w:sz w:val="28"/>
          <w:szCs w:val="28"/>
        </w:rPr>
        <w:t xml:space="preserve"> щодо відновлення та обслуговування фарватеру «Дунай та його судноплавні ділянки»</w:t>
      </w:r>
      <w:r w:rsidR="00F07DED" w:rsidRPr="00592CE3">
        <w:rPr>
          <w:rStyle w:val="hps"/>
          <w:rFonts w:ascii="Times New Roman" w:hAnsi="Times New Roman"/>
          <w:sz w:val="28"/>
          <w:szCs w:val="28"/>
        </w:rPr>
        <w:t>,</w:t>
      </w:r>
      <w:r w:rsidR="00204FAF">
        <w:rPr>
          <w:rStyle w:val="hps"/>
          <w:rFonts w:ascii="Times New Roman" w:hAnsi="Times New Roman"/>
          <w:sz w:val="28"/>
          <w:szCs w:val="28"/>
        </w:rPr>
        <w:t xml:space="preserve"> схвалений 03.12.2014,</w:t>
      </w:r>
      <w:r w:rsidR="00F07DED" w:rsidRPr="00592CE3">
        <w:rPr>
          <w:rStyle w:val="hps"/>
          <w:rFonts w:ascii="Times New Roman" w:hAnsi="Times New Roman"/>
          <w:sz w:val="28"/>
          <w:szCs w:val="28"/>
        </w:rPr>
        <w:t xml:space="preserve"> зокрема</w:t>
      </w:r>
      <w:r w:rsidR="00925993">
        <w:rPr>
          <w:rStyle w:val="hps"/>
          <w:rFonts w:ascii="Times New Roman" w:hAnsi="Times New Roman"/>
          <w:sz w:val="28"/>
          <w:szCs w:val="28"/>
        </w:rPr>
        <w:t>,</w:t>
      </w:r>
      <w:r w:rsidR="00F07DED" w:rsidRPr="00592CE3">
        <w:rPr>
          <w:rStyle w:val="hps"/>
          <w:rFonts w:ascii="Times New Roman" w:hAnsi="Times New Roman"/>
          <w:sz w:val="28"/>
          <w:szCs w:val="28"/>
        </w:rPr>
        <w:t xml:space="preserve"> що стосується </w:t>
      </w:r>
      <w:r w:rsidR="007A185D" w:rsidRPr="00592CE3">
        <w:rPr>
          <w:rStyle w:val="hps"/>
          <w:rFonts w:ascii="Times New Roman" w:hAnsi="Times New Roman"/>
          <w:sz w:val="28"/>
          <w:szCs w:val="28"/>
        </w:rPr>
        <w:t>визначення</w:t>
      </w:r>
      <w:r w:rsidR="00F07DED" w:rsidRPr="00592CE3">
        <w:rPr>
          <w:rStyle w:val="hps"/>
          <w:rFonts w:ascii="Times New Roman" w:hAnsi="Times New Roman"/>
          <w:sz w:val="28"/>
          <w:szCs w:val="28"/>
        </w:rPr>
        <w:t xml:space="preserve"> окремих заходів</w:t>
      </w:r>
      <w:r w:rsidR="007A185D" w:rsidRPr="00592CE3">
        <w:rPr>
          <w:rStyle w:val="hps"/>
          <w:rFonts w:ascii="Times New Roman" w:hAnsi="Times New Roman"/>
          <w:sz w:val="28"/>
          <w:szCs w:val="28"/>
        </w:rPr>
        <w:t xml:space="preserve"> щодо його реалізації, відповідальності, джерел фінансування та проміжних етапів реалізації цих заходів. </w:t>
      </w:r>
    </w:p>
    <w:p w:rsidR="0018626F" w:rsidRPr="00925993" w:rsidRDefault="0018626F" w:rsidP="005B35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8626F" w:rsidRPr="00925993" w:rsidRDefault="0018626F" w:rsidP="009259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993">
        <w:rPr>
          <w:rFonts w:ascii="Times New Roman" w:hAnsi="Times New Roman"/>
          <w:b/>
          <w:sz w:val="28"/>
          <w:szCs w:val="28"/>
        </w:rPr>
        <w:t>Характеристики української частини водного шляху Дунай:</w:t>
      </w:r>
    </w:p>
    <w:p w:rsidR="0018626F" w:rsidRPr="00CC2A94" w:rsidRDefault="0018626F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 xml:space="preserve">Довжина  дунайського суднового ходу по природних руслах – 172,36 км, який проходить наступним чином: </w:t>
      </w:r>
    </w:p>
    <w:p w:rsidR="0018626F" w:rsidRPr="00CC2A94" w:rsidRDefault="0018626F" w:rsidP="005B359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 xml:space="preserve">Кордон з Молдовою - мис Ізмаїльський Чатал (72-43 морські милі від 0 миса Суліна) – спільна прикордонна ділянка з Румунією. </w:t>
      </w:r>
    </w:p>
    <w:p w:rsidR="00BE70E3" w:rsidRDefault="0018626F" w:rsidP="005B359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Мис Ізмаїльський Чатал – Вілково (43 морські милі - 20,55 км від 0</w:t>
      </w:r>
      <w:r w:rsidR="00BE70E3">
        <w:rPr>
          <w:rFonts w:ascii="Times New Roman" w:hAnsi="Times New Roman"/>
          <w:sz w:val="28"/>
          <w:szCs w:val="28"/>
        </w:rPr>
        <w:t>км</w:t>
      </w:r>
      <w:r w:rsidRPr="00CC2A94">
        <w:rPr>
          <w:rFonts w:ascii="Times New Roman" w:hAnsi="Times New Roman"/>
          <w:sz w:val="28"/>
          <w:szCs w:val="28"/>
        </w:rPr>
        <w:t xml:space="preserve"> гирла Бистре), - через гирло Кілійське.</w:t>
      </w:r>
      <w:r w:rsidR="00BE70E3">
        <w:rPr>
          <w:rFonts w:ascii="Times New Roman" w:hAnsi="Times New Roman"/>
          <w:sz w:val="28"/>
          <w:szCs w:val="28"/>
        </w:rPr>
        <w:t xml:space="preserve"> </w:t>
      </w:r>
    </w:p>
    <w:p w:rsidR="0018626F" w:rsidRPr="00BE70E3" w:rsidRDefault="0018626F" w:rsidP="00BE70E3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17">
        <w:rPr>
          <w:rFonts w:ascii="Times New Roman" w:hAnsi="Times New Roman"/>
          <w:sz w:val="28"/>
          <w:szCs w:val="28"/>
        </w:rPr>
        <w:t>Дана ділянка є природнім глибоководним простором з двостороннім рухом суден:</w:t>
      </w:r>
    </w:p>
    <w:p w:rsidR="0018626F" w:rsidRPr="00CC2A94" w:rsidRDefault="0018626F" w:rsidP="005B359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Вілково – початок гирла Бистре (20,55 – 11 км</w:t>
      </w:r>
      <w:r w:rsidR="00BE70E3">
        <w:rPr>
          <w:rFonts w:ascii="Times New Roman" w:hAnsi="Times New Roman"/>
          <w:sz w:val="28"/>
          <w:szCs w:val="28"/>
        </w:rPr>
        <w:t xml:space="preserve"> від 0км гирла Бистре</w:t>
      </w:r>
      <w:r w:rsidRPr="00CC2A94">
        <w:rPr>
          <w:rFonts w:ascii="Times New Roman" w:hAnsi="Times New Roman"/>
          <w:sz w:val="28"/>
          <w:szCs w:val="28"/>
        </w:rPr>
        <w:t>).</w:t>
      </w:r>
    </w:p>
    <w:p w:rsidR="0018626F" w:rsidRPr="00CC2A94" w:rsidRDefault="0018626F" w:rsidP="005B359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Гирло Бистре – вхід до морського підхідного каналу</w:t>
      </w:r>
      <w:r w:rsidR="00BE70E3">
        <w:rPr>
          <w:rFonts w:ascii="Times New Roman" w:hAnsi="Times New Roman"/>
          <w:sz w:val="28"/>
          <w:szCs w:val="28"/>
        </w:rPr>
        <w:t xml:space="preserve"> р. Дунай – Чорне море</w:t>
      </w:r>
      <w:r w:rsidRPr="00CC2A94">
        <w:rPr>
          <w:rFonts w:ascii="Times New Roman" w:hAnsi="Times New Roman"/>
          <w:sz w:val="28"/>
          <w:szCs w:val="28"/>
        </w:rPr>
        <w:t xml:space="preserve"> (11 – 0 км).</w:t>
      </w:r>
    </w:p>
    <w:p w:rsidR="0018626F" w:rsidRPr="00925993" w:rsidRDefault="0018626F" w:rsidP="005B35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8626F" w:rsidRPr="00CC2A94" w:rsidRDefault="0018626F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Основними критичними ділянками є:</w:t>
      </w:r>
    </w:p>
    <w:p w:rsidR="0018626F" w:rsidRPr="00CC2A94" w:rsidRDefault="0018626F" w:rsidP="005B359E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Ділянка від початку гирла Бистре - мис Із</w:t>
      </w:r>
      <w:r w:rsidR="00BE70E3">
        <w:rPr>
          <w:rFonts w:ascii="Times New Roman" w:hAnsi="Times New Roman"/>
          <w:sz w:val="28"/>
          <w:szCs w:val="28"/>
        </w:rPr>
        <w:t>маїл Чатал (20.55км - 43 морська миля)</w:t>
      </w:r>
      <w:r w:rsidRPr="00CC2A94">
        <w:rPr>
          <w:rFonts w:ascii="Times New Roman" w:hAnsi="Times New Roman"/>
          <w:sz w:val="28"/>
          <w:szCs w:val="28"/>
        </w:rPr>
        <w:t xml:space="preserve"> - проходить через гирло Кілійське, з двостороннім рухом суден (ширина в нижній частині становить 120 м). Дана частина має 13 </w:t>
      </w:r>
      <w:r w:rsidR="00BE70E3">
        <w:rPr>
          <w:rFonts w:ascii="Times New Roman" w:hAnsi="Times New Roman"/>
          <w:sz w:val="28"/>
          <w:szCs w:val="28"/>
        </w:rPr>
        <w:t>критичних</w:t>
      </w:r>
      <w:r w:rsidRPr="00CC2A94">
        <w:rPr>
          <w:rFonts w:ascii="Times New Roman" w:hAnsi="Times New Roman"/>
          <w:sz w:val="28"/>
          <w:szCs w:val="28"/>
        </w:rPr>
        <w:t xml:space="preserve"> ділянок</w:t>
      </w:r>
      <w:r w:rsidR="00BE70E3">
        <w:rPr>
          <w:rFonts w:ascii="Times New Roman" w:hAnsi="Times New Roman"/>
          <w:sz w:val="28"/>
          <w:szCs w:val="28"/>
        </w:rPr>
        <w:t xml:space="preserve"> (перекатів)</w:t>
      </w:r>
      <w:r w:rsidRPr="00CC2A94">
        <w:rPr>
          <w:rFonts w:ascii="Times New Roman" w:hAnsi="Times New Roman"/>
          <w:sz w:val="28"/>
          <w:szCs w:val="28"/>
        </w:rPr>
        <w:t>, де необхідно провести днопоглиблювальні роботи</w:t>
      </w:r>
      <w:r w:rsidR="00BE70E3">
        <w:rPr>
          <w:rFonts w:ascii="Times New Roman" w:hAnsi="Times New Roman"/>
          <w:sz w:val="28"/>
          <w:szCs w:val="28"/>
        </w:rPr>
        <w:t>, з метою забезпечення прохідних глибин</w:t>
      </w:r>
      <w:r w:rsidRPr="00CC2A94">
        <w:rPr>
          <w:rFonts w:ascii="Times New Roman" w:hAnsi="Times New Roman"/>
          <w:sz w:val="28"/>
          <w:szCs w:val="28"/>
        </w:rPr>
        <w:t>.</w:t>
      </w:r>
    </w:p>
    <w:p w:rsidR="0018626F" w:rsidRPr="00CC2A94" w:rsidRDefault="0018626F" w:rsidP="005B359E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A94">
        <w:rPr>
          <w:rFonts w:ascii="Times New Roman" w:hAnsi="Times New Roman"/>
          <w:sz w:val="28"/>
          <w:szCs w:val="28"/>
        </w:rPr>
        <w:t>Ділянка від мису Ізмаїл</w:t>
      </w:r>
      <w:r w:rsidR="00645CAE">
        <w:rPr>
          <w:rFonts w:ascii="Times New Roman" w:hAnsi="Times New Roman"/>
          <w:sz w:val="28"/>
          <w:szCs w:val="28"/>
        </w:rPr>
        <w:t>ьский</w:t>
      </w:r>
      <w:r w:rsidRPr="00CC2A94">
        <w:rPr>
          <w:rFonts w:ascii="Times New Roman" w:hAnsi="Times New Roman"/>
          <w:sz w:val="28"/>
          <w:szCs w:val="28"/>
        </w:rPr>
        <w:t xml:space="preserve"> Чатал </w:t>
      </w:r>
      <w:r w:rsidR="00BE70E3">
        <w:rPr>
          <w:rFonts w:ascii="Times New Roman" w:hAnsi="Times New Roman"/>
          <w:sz w:val="28"/>
          <w:szCs w:val="28"/>
        </w:rPr>
        <w:t>до кордону з Молдовою</w:t>
      </w:r>
      <w:r w:rsidRPr="00CC2A94">
        <w:rPr>
          <w:rFonts w:ascii="Times New Roman" w:hAnsi="Times New Roman"/>
          <w:sz w:val="28"/>
          <w:szCs w:val="28"/>
        </w:rPr>
        <w:t xml:space="preserve"> має 4 критичні </w:t>
      </w:r>
      <w:r w:rsidR="00BE70E3">
        <w:rPr>
          <w:rFonts w:ascii="Times New Roman" w:hAnsi="Times New Roman"/>
          <w:sz w:val="28"/>
          <w:szCs w:val="28"/>
        </w:rPr>
        <w:t>діялнки</w:t>
      </w:r>
      <w:r w:rsidRPr="00CC2A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8626F" w:rsidRDefault="0018626F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4338" w:rsidRDefault="00B14338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4338" w:rsidRDefault="00B14338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4338" w:rsidRDefault="00B14338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4338" w:rsidRDefault="00B14338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4338" w:rsidRPr="00B14338" w:rsidRDefault="00B14338" w:rsidP="005B3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626F" w:rsidRPr="00925993" w:rsidRDefault="00925993" w:rsidP="009259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993">
        <w:rPr>
          <w:rFonts w:ascii="Times New Roman" w:hAnsi="Times New Roman"/>
          <w:b/>
          <w:sz w:val="28"/>
          <w:szCs w:val="28"/>
        </w:rPr>
        <w:t>Заходи</w:t>
      </w:r>
      <w:r>
        <w:rPr>
          <w:rFonts w:ascii="Times New Roman" w:hAnsi="Times New Roman"/>
          <w:b/>
          <w:sz w:val="28"/>
          <w:szCs w:val="28"/>
        </w:rPr>
        <w:t xml:space="preserve"> та їх реалізація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693"/>
        <w:gridCol w:w="5103"/>
        <w:gridCol w:w="2948"/>
        <w:gridCol w:w="2977"/>
        <w:gridCol w:w="1730"/>
      </w:tblGrid>
      <w:tr w:rsidR="0018626F" w:rsidRPr="004B4ED8" w:rsidTr="00FC03D6">
        <w:tc>
          <w:tcPr>
            <w:tcW w:w="426" w:type="dxa"/>
          </w:tcPr>
          <w:p w:rsidR="0018626F" w:rsidRPr="004B4ED8" w:rsidRDefault="0018626F" w:rsidP="004B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8626F" w:rsidRPr="004B4ED8" w:rsidRDefault="0018626F" w:rsidP="004B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5103" w:type="dxa"/>
          </w:tcPr>
          <w:p w:rsidR="0018626F" w:rsidRPr="004B4ED8" w:rsidRDefault="0018626F" w:rsidP="00FC0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Опис заходу</w:t>
            </w:r>
          </w:p>
        </w:tc>
        <w:tc>
          <w:tcPr>
            <w:tcW w:w="2948" w:type="dxa"/>
          </w:tcPr>
          <w:p w:rsidR="0018626F" w:rsidRPr="004B4ED8" w:rsidRDefault="0018626F" w:rsidP="004B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Орієнтовна вартість</w:t>
            </w:r>
          </w:p>
        </w:tc>
        <w:tc>
          <w:tcPr>
            <w:tcW w:w="2977" w:type="dxa"/>
          </w:tcPr>
          <w:p w:rsidR="0018626F" w:rsidRPr="004B4ED8" w:rsidRDefault="0018626F" w:rsidP="004B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Відповідальний орган</w:t>
            </w:r>
          </w:p>
        </w:tc>
        <w:tc>
          <w:tcPr>
            <w:tcW w:w="1730" w:type="dxa"/>
          </w:tcPr>
          <w:p w:rsidR="0018626F" w:rsidRPr="004B4ED8" w:rsidRDefault="0018626F" w:rsidP="004B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ED8">
              <w:rPr>
                <w:rFonts w:ascii="Times New Roman" w:hAnsi="Times New Roman"/>
                <w:b/>
                <w:sz w:val="28"/>
                <w:szCs w:val="28"/>
              </w:rPr>
              <w:t>Строки виконання</w:t>
            </w:r>
          </w:p>
        </w:tc>
      </w:tr>
      <w:tr w:rsidR="004F1499" w:rsidRPr="002F6017" w:rsidTr="003F6BC3">
        <w:tc>
          <w:tcPr>
            <w:tcW w:w="426" w:type="dxa"/>
          </w:tcPr>
          <w:p w:rsidR="004F1499" w:rsidRPr="002F6017" w:rsidRDefault="00E311BF" w:rsidP="003F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1499" w:rsidRPr="002F6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F1499" w:rsidRPr="002F6017" w:rsidRDefault="004F1499" w:rsidP="003F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Забезпечення якісного технічного обслуговування водних шляхів</w:t>
            </w:r>
          </w:p>
        </w:tc>
        <w:tc>
          <w:tcPr>
            <w:tcW w:w="5103" w:type="dxa"/>
          </w:tcPr>
          <w:p w:rsidR="004F1499" w:rsidRPr="002F6017" w:rsidRDefault="004F1499" w:rsidP="003F6BC3">
            <w:pPr>
              <w:pStyle w:val="1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val="uk-UA"/>
              </w:rPr>
              <w:t>Залучення інвестицій та технічної допомоги для придбання сучасного днопоглиблювального та промірного  обладнання / надання послуг, достатніх для ефективного втручання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критичні періоди, оптимізації</w:t>
            </w:r>
            <w:r w:rsidRPr="002F60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процесів</w:t>
            </w:r>
            <w:r w:rsidR="00E311BF">
              <w:rPr>
                <w:rFonts w:ascii="Times New Roman" w:hAnsi="Times New Roman"/>
                <w:sz w:val="28"/>
                <w:szCs w:val="28"/>
                <w:lang w:val="uk-UA"/>
              </w:rPr>
              <w:t>, тощо</w:t>
            </w:r>
          </w:p>
        </w:tc>
        <w:tc>
          <w:tcPr>
            <w:tcW w:w="2948" w:type="dxa"/>
          </w:tcPr>
          <w:p w:rsidR="004F1499" w:rsidRPr="002F6017" w:rsidRDefault="004F1499" w:rsidP="003F6BC3">
            <w:pPr>
              <w:pStyle w:val="Text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1499" w:rsidRPr="002F6017" w:rsidRDefault="004F1499" w:rsidP="003F6BC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017">
              <w:rPr>
                <w:rFonts w:ascii="Times New Roman" w:hAnsi="Times New Roman"/>
                <w:bCs/>
                <w:sz w:val="28"/>
                <w:szCs w:val="28"/>
              </w:rPr>
              <w:t xml:space="preserve">Міністерство інфраструктури </w:t>
            </w:r>
          </w:p>
          <w:p w:rsidR="004F1499" w:rsidRPr="002F6017" w:rsidRDefault="004F1499" w:rsidP="003F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 xml:space="preserve">Філія «Дельта-лоцман» </w:t>
            </w:r>
            <w:proofErr w:type="spellStart"/>
            <w:r w:rsidRPr="002F6017">
              <w:rPr>
                <w:rFonts w:ascii="Times New Roman" w:hAnsi="Times New Roman"/>
                <w:sz w:val="28"/>
                <w:szCs w:val="28"/>
              </w:rPr>
              <w:t>ДП</w:t>
            </w:r>
            <w:proofErr w:type="spellEnd"/>
            <w:r w:rsidRPr="002F6017">
              <w:rPr>
                <w:rFonts w:ascii="Times New Roman" w:hAnsi="Times New Roman"/>
                <w:sz w:val="28"/>
                <w:szCs w:val="28"/>
              </w:rPr>
              <w:t xml:space="preserve"> «АМПУ»</w:t>
            </w:r>
          </w:p>
        </w:tc>
        <w:tc>
          <w:tcPr>
            <w:tcW w:w="1730" w:type="dxa"/>
          </w:tcPr>
          <w:p w:rsidR="004F1499" w:rsidRPr="002F6017" w:rsidRDefault="004F1499" w:rsidP="003F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</w:tr>
      <w:tr w:rsidR="0018626F" w:rsidRPr="002F6017" w:rsidTr="00FC03D6">
        <w:tc>
          <w:tcPr>
            <w:tcW w:w="426" w:type="dxa"/>
          </w:tcPr>
          <w:p w:rsidR="0018626F" w:rsidRPr="002F6017" w:rsidRDefault="001A7F30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 xml:space="preserve">Моніторинг </w:t>
            </w:r>
            <w:r w:rsidR="00B66A1F" w:rsidRPr="002F6017">
              <w:rPr>
                <w:rFonts w:ascii="Times New Roman" w:hAnsi="Times New Roman"/>
                <w:sz w:val="28"/>
                <w:szCs w:val="28"/>
              </w:rPr>
              <w:t xml:space="preserve">стану 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>фарватеру</w:t>
            </w:r>
          </w:p>
        </w:tc>
        <w:tc>
          <w:tcPr>
            <w:tcW w:w="5103" w:type="dxa"/>
          </w:tcPr>
          <w:p w:rsidR="0018626F" w:rsidRPr="002F6017" w:rsidRDefault="0018626F" w:rsidP="00FC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промірних робіт з навігаційною метою та для отримання відомостей про характер рельєфу дна і стан глибин та з метою створення та підтримання на сучасному рівні річкових навігаційних карт</w:t>
            </w:r>
            <w:r w:rsidR="00B66A1F"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(в тому числі електронних)</w:t>
            </w: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48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161 тис євро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на рік</w:t>
            </w:r>
          </w:p>
        </w:tc>
        <w:tc>
          <w:tcPr>
            <w:tcW w:w="2977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Державна установа «Держгідрографія»</w:t>
            </w:r>
          </w:p>
        </w:tc>
        <w:tc>
          <w:tcPr>
            <w:tcW w:w="1730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</w:tr>
      <w:tr w:rsidR="001A7F30" w:rsidRPr="002F6017" w:rsidTr="0043532A">
        <w:trPr>
          <w:trHeight w:val="368"/>
        </w:trPr>
        <w:tc>
          <w:tcPr>
            <w:tcW w:w="426" w:type="dxa"/>
          </w:tcPr>
          <w:p w:rsidR="001A7F30" w:rsidRPr="002F6017" w:rsidRDefault="001A7F30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A7F30" w:rsidRPr="002F6017" w:rsidRDefault="001A7F30" w:rsidP="0043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Днопоглиблювальні роботи на річковій частині водного шляху р. Дунай</w:t>
            </w:r>
          </w:p>
        </w:tc>
        <w:tc>
          <w:tcPr>
            <w:tcW w:w="5103" w:type="dxa"/>
          </w:tcPr>
          <w:p w:rsidR="001A7F30" w:rsidRPr="002F6017" w:rsidRDefault="001A7F30" w:rsidP="00435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Проведення необхідних заходів для відновлення глибин на критичних ділянках фарватеру в рамках технічного обслуговування суднового ходу.</w:t>
            </w:r>
          </w:p>
        </w:tc>
        <w:tc>
          <w:tcPr>
            <w:tcW w:w="2948" w:type="dxa"/>
          </w:tcPr>
          <w:p w:rsidR="001A7F30" w:rsidRPr="002F6017" w:rsidRDefault="001A7F30" w:rsidP="0043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Точна сума буде визначена після проведення всіх необхідних вимірів і підготовки техніко-економічних обґрунтувань.</w:t>
            </w:r>
          </w:p>
        </w:tc>
        <w:tc>
          <w:tcPr>
            <w:tcW w:w="2977" w:type="dxa"/>
          </w:tcPr>
          <w:p w:rsidR="001A7F30" w:rsidRPr="002F6017" w:rsidRDefault="001A7F30" w:rsidP="0043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ДП «Адміністрація морських портів України»</w:t>
            </w:r>
          </w:p>
        </w:tc>
        <w:tc>
          <w:tcPr>
            <w:tcW w:w="1730" w:type="dxa"/>
          </w:tcPr>
          <w:p w:rsidR="001A7F30" w:rsidRPr="002F6017" w:rsidRDefault="001A7F30" w:rsidP="0043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2015-2018 рік</w:t>
            </w:r>
          </w:p>
        </w:tc>
      </w:tr>
      <w:tr w:rsidR="00B66A1F" w:rsidRPr="002F6017" w:rsidTr="00FC03D6">
        <w:tc>
          <w:tcPr>
            <w:tcW w:w="426" w:type="dxa"/>
          </w:tcPr>
          <w:p w:rsidR="00B66A1F" w:rsidRPr="002F6017" w:rsidRDefault="001A7F30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Моніторинг маркування фарватеру</w:t>
            </w:r>
          </w:p>
        </w:tc>
        <w:tc>
          <w:tcPr>
            <w:tcW w:w="5103" w:type="dxa"/>
          </w:tcPr>
          <w:p w:rsidR="00B66A1F" w:rsidRPr="002F6017" w:rsidRDefault="00B66A1F" w:rsidP="00FC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Проведення необхідних робіт з відновлення сигнальних знаків фарватеру та забезпечення нових сучасних систем маркування фарватеру. </w:t>
            </w:r>
          </w:p>
        </w:tc>
        <w:tc>
          <w:tcPr>
            <w:tcW w:w="2948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Державна установа «Держгідрографія»</w:t>
            </w:r>
          </w:p>
        </w:tc>
        <w:tc>
          <w:tcPr>
            <w:tcW w:w="1730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</w:tr>
      <w:tr w:rsidR="0018626F" w:rsidRPr="002F6017" w:rsidTr="00FC03D6">
        <w:tc>
          <w:tcPr>
            <w:tcW w:w="426" w:type="dxa"/>
          </w:tcPr>
          <w:p w:rsidR="0018626F" w:rsidRPr="002F6017" w:rsidRDefault="001A7F30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5634E" w:rsidRPr="00D5634E" w:rsidRDefault="0018626F" w:rsidP="00D56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34E">
              <w:rPr>
                <w:rFonts w:ascii="Times New Roman" w:hAnsi="Times New Roman"/>
                <w:sz w:val="28"/>
                <w:szCs w:val="28"/>
              </w:rPr>
              <w:t xml:space="preserve">Моніторинг </w:t>
            </w:r>
            <w:r w:rsidR="00375D63" w:rsidRPr="00D56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26F" w:rsidRPr="002F6017" w:rsidRDefault="00D5634E" w:rsidP="00375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634E">
              <w:rPr>
                <w:rFonts w:ascii="Times New Roman" w:hAnsi="Times New Roman"/>
                <w:sz w:val="28"/>
                <w:szCs w:val="28"/>
              </w:rPr>
              <w:t>гідрологічних умов на український ділянці р. Дунай</w:t>
            </w:r>
            <w:r>
              <w:t xml:space="preserve"> </w:t>
            </w:r>
            <w:r w:rsidR="00375D63" w:rsidRPr="002F6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18626F" w:rsidRPr="002F6017" w:rsidRDefault="00B66A1F" w:rsidP="00FC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Виконання</w:t>
            </w:r>
            <w:r w:rsidR="0018626F" w:rsidRPr="002F6017">
              <w:rPr>
                <w:rFonts w:ascii="Times New Roman" w:hAnsi="Times New Roman"/>
                <w:sz w:val="28"/>
                <w:szCs w:val="28"/>
              </w:rPr>
              <w:t xml:space="preserve"> спостереження 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>рівнів</w:t>
            </w:r>
            <w:r w:rsidR="00FC03D6" w:rsidRPr="002F60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C03D6" w:rsidRPr="002F6017">
              <w:rPr>
                <w:rFonts w:ascii="Times New Roman" w:hAnsi="Times New Roman"/>
                <w:sz w:val="28"/>
                <w:szCs w:val="28"/>
              </w:rPr>
              <w:t>води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26F" w:rsidRPr="002F6017">
              <w:rPr>
                <w:rFonts w:ascii="Times New Roman" w:hAnsi="Times New Roman"/>
                <w:sz w:val="28"/>
                <w:szCs w:val="28"/>
              </w:rPr>
              <w:t xml:space="preserve">на українській ділянці р. Дунай 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>(</w:t>
            </w:r>
            <w:r w:rsidR="0018626F" w:rsidRPr="002F6017">
              <w:rPr>
                <w:rFonts w:ascii="Times New Roman" w:hAnsi="Times New Roman"/>
                <w:sz w:val="28"/>
                <w:szCs w:val="28"/>
              </w:rPr>
              <w:t>на постійній основі виконуються на 6 рівневих водомірних постах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 xml:space="preserve">) та забезпечення </w:t>
            </w:r>
            <w:r w:rsidR="00375D63" w:rsidRPr="002F6017">
              <w:rPr>
                <w:rFonts w:ascii="Times New Roman" w:hAnsi="Times New Roman"/>
                <w:sz w:val="28"/>
                <w:szCs w:val="28"/>
              </w:rPr>
              <w:t xml:space="preserve"> їх 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>прогнозів</w:t>
            </w:r>
            <w:r w:rsidR="0018626F" w:rsidRPr="002F6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Гідрометеорологічний центр України</w:t>
            </w:r>
          </w:p>
        </w:tc>
        <w:tc>
          <w:tcPr>
            <w:tcW w:w="1730" w:type="dxa"/>
          </w:tcPr>
          <w:p w:rsidR="0018626F" w:rsidRPr="002F6017" w:rsidRDefault="0018626F" w:rsidP="004B4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</w:tr>
      <w:tr w:rsidR="001A7F30" w:rsidRPr="002F6017" w:rsidTr="009745BE">
        <w:tc>
          <w:tcPr>
            <w:tcW w:w="426" w:type="dxa"/>
          </w:tcPr>
          <w:p w:rsidR="001A7F30" w:rsidRPr="002F6017" w:rsidRDefault="001A7F30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A7F30" w:rsidRPr="002F6017" w:rsidRDefault="001A7F30" w:rsidP="00974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Регулювання руху суден на р. Дунай</w:t>
            </w:r>
          </w:p>
        </w:tc>
        <w:tc>
          <w:tcPr>
            <w:tcW w:w="5103" w:type="dxa"/>
          </w:tcPr>
          <w:p w:rsidR="001A7F30" w:rsidRPr="002F6017" w:rsidRDefault="001A7F30" w:rsidP="009745BE">
            <w:pPr>
              <w:pStyle w:val="1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надання відповідних послуг з допомогою системи RIS щодо регулювання руху суден</w:t>
            </w:r>
            <w:r w:rsidRPr="002F601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які перебувають у зоні дії служб регулювання руху суден </w:t>
            </w:r>
          </w:p>
        </w:tc>
        <w:tc>
          <w:tcPr>
            <w:tcW w:w="2948" w:type="dxa"/>
          </w:tcPr>
          <w:p w:rsidR="001A7F30" w:rsidRPr="002F6017" w:rsidRDefault="001A7F30" w:rsidP="00974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7F30" w:rsidRPr="002F6017" w:rsidRDefault="001A7F30" w:rsidP="009745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Філія «Дельта-лоцман» ДП «АМПУ»</w:t>
            </w:r>
          </w:p>
        </w:tc>
        <w:tc>
          <w:tcPr>
            <w:tcW w:w="1730" w:type="dxa"/>
          </w:tcPr>
          <w:p w:rsidR="001A7F30" w:rsidRPr="002F6017" w:rsidRDefault="001A7F30" w:rsidP="00974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</w:tr>
      <w:tr w:rsidR="00E311BF" w:rsidRPr="002F6017" w:rsidTr="00D012C1">
        <w:tc>
          <w:tcPr>
            <w:tcW w:w="426" w:type="dxa"/>
          </w:tcPr>
          <w:p w:rsidR="00E311BF" w:rsidRPr="002F6017" w:rsidRDefault="00E311BF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E311BF" w:rsidRPr="002F6017" w:rsidRDefault="00E311BF" w:rsidP="00D01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Експлуатаційне днопоглиблення на морському підхідному каналі (МПК) р. Дунай – Чорне море</w:t>
            </w:r>
          </w:p>
        </w:tc>
        <w:tc>
          <w:tcPr>
            <w:tcW w:w="5103" w:type="dxa"/>
          </w:tcPr>
          <w:p w:rsidR="00E311BF" w:rsidRPr="002F6017" w:rsidRDefault="00E311BF" w:rsidP="00D01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Виконання експлуатаційних днопоглиблювальних робіт на МПК з метою забезпечення безпеки судноплавства.</w:t>
            </w:r>
          </w:p>
        </w:tc>
        <w:tc>
          <w:tcPr>
            <w:tcW w:w="2948" w:type="dxa"/>
          </w:tcPr>
          <w:p w:rsidR="00E311BF" w:rsidRPr="004F1499" w:rsidRDefault="00E311BF" w:rsidP="00D01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499">
              <w:rPr>
                <w:rFonts w:ascii="Times New Roman" w:hAnsi="Times New Roman"/>
                <w:sz w:val="28"/>
                <w:szCs w:val="28"/>
              </w:rPr>
              <w:t xml:space="preserve">1,6 </w:t>
            </w:r>
            <w:proofErr w:type="spellStart"/>
            <w:r w:rsidRPr="004F149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4F1499">
              <w:rPr>
                <w:rFonts w:ascii="Times New Roman" w:hAnsi="Times New Roman"/>
                <w:sz w:val="28"/>
                <w:szCs w:val="28"/>
              </w:rPr>
              <w:t xml:space="preserve"> євро на рік</w:t>
            </w:r>
          </w:p>
          <w:p w:rsidR="00E311BF" w:rsidRPr="004F1499" w:rsidRDefault="00E311BF" w:rsidP="00D012C1">
            <w:pPr>
              <w:pStyle w:val="Text"/>
              <w:spacing w:before="0" w:after="0" w:line="240" w:lineRule="auto"/>
              <w:rPr>
                <w:rFonts w:ascii="Times New Roman" w:hAnsi="Times New Roman"/>
                <w:i/>
                <w:color w:val="0000FF"/>
                <w:sz w:val="24"/>
                <w:lang w:val="uk-UA"/>
              </w:rPr>
            </w:pPr>
            <w:r w:rsidRPr="004F1499">
              <w:rPr>
                <w:rFonts w:ascii="Times New Roman" w:hAnsi="Times New Roman"/>
                <w:sz w:val="28"/>
                <w:szCs w:val="28"/>
                <w:lang w:val="uk-UA"/>
              </w:rPr>
              <w:t>Для збільшення глибин з 5,85м до 8,0м.  необхідна сума інвестицій -</w:t>
            </w:r>
            <w:r w:rsidRPr="004F1499">
              <w:rPr>
                <w:rFonts w:ascii="Times New Roman" w:hAnsi="Times New Roman"/>
                <w:color w:val="0000FF"/>
                <w:sz w:val="28"/>
                <w:szCs w:val="28"/>
                <w:lang w:val="uk-UA"/>
              </w:rPr>
              <w:t xml:space="preserve"> </w:t>
            </w:r>
            <w:r w:rsidRPr="004F14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€ 35 млн. </w:t>
            </w:r>
          </w:p>
        </w:tc>
        <w:tc>
          <w:tcPr>
            <w:tcW w:w="2977" w:type="dxa"/>
          </w:tcPr>
          <w:p w:rsidR="00E311BF" w:rsidRPr="002F6017" w:rsidRDefault="00E311BF" w:rsidP="00D01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Філія «Дельта-лоцман» ДП «АМПУ»</w:t>
            </w:r>
          </w:p>
        </w:tc>
        <w:tc>
          <w:tcPr>
            <w:tcW w:w="1730" w:type="dxa"/>
          </w:tcPr>
          <w:p w:rsidR="00E311BF" w:rsidRPr="002F6017" w:rsidRDefault="00E311BF" w:rsidP="00D01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  <w:tr w:rsidR="00B66A1F" w:rsidRPr="002F6017" w:rsidTr="00FC03D6">
        <w:tc>
          <w:tcPr>
            <w:tcW w:w="426" w:type="dxa"/>
          </w:tcPr>
          <w:p w:rsidR="00B66A1F" w:rsidRPr="002F6017" w:rsidRDefault="00E311BF" w:rsidP="00E3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Комплексний екологічний моніторинг</w:t>
            </w:r>
          </w:p>
        </w:tc>
        <w:tc>
          <w:tcPr>
            <w:tcW w:w="5103" w:type="dxa"/>
          </w:tcPr>
          <w:p w:rsidR="00FF663B" w:rsidRPr="002F6017" w:rsidRDefault="00FF663B" w:rsidP="00FC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6017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комплексного екологічного моніторингу довкілля під час проведення необхідних днопоглиблювальних робіт та експлуатації морського підхідного каналу глибоководного суднового ходу р. Дунай-Чорне море.</w:t>
            </w:r>
          </w:p>
          <w:p w:rsidR="00B66A1F" w:rsidRPr="002F6017" w:rsidRDefault="00B66A1F" w:rsidP="00FC0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 xml:space="preserve">Вирішення питань щодо завершення процедури, </w:t>
            </w:r>
            <w:r w:rsidR="00FC03D6" w:rsidRPr="002F6017">
              <w:rPr>
                <w:rFonts w:ascii="Times New Roman" w:hAnsi="Times New Roman"/>
                <w:sz w:val="28"/>
                <w:szCs w:val="28"/>
              </w:rPr>
              <w:t xml:space="preserve">яка передбачена Конвенцією Еспо </w:t>
            </w:r>
            <w:r w:rsidRPr="002F6017">
              <w:rPr>
                <w:rFonts w:ascii="Times New Roman" w:hAnsi="Times New Roman"/>
                <w:sz w:val="28"/>
                <w:szCs w:val="28"/>
              </w:rPr>
              <w:t>(Конвенція про оцінку впливу на навколишнє середовище у транскордонному контексті).</w:t>
            </w:r>
          </w:p>
        </w:tc>
        <w:tc>
          <w:tcPr>
            <w:tcW w:w="2948" w:type="dxa"/>
          </w:tcPr>
          <w:p w:rsidR="00B66A1F" w:rsidRPr="002F6017" w:rsidRDefault="00B6154C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160 тис євро на рік</w:t>
            </w:r>
          </w:p>
        </w:tc>
        <w:tc>
          <w:tcPr>
            <w:tcW w:w="2977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017">
              <w:rPr>
                <w:rFonts w:ascii="Times New Roman" w:hAnsi="Times New Roman"/>
                <w:bCs/>
                <w:sz w:val="28"/>
                <w:szCs w:val="28"/>
              </w:rPr>
              <w:t xml:space="preserve">Міністерство інфраструктури </w:t>
            </w:r>
          </w:p>
          <w:p w:rsidR="00B66A1F" w:rsidRPr="002F6017" w:rsidRDefault="00B6154C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Філія «Дельта-лоцман» ДП «АМПУ»</w:t>
            </w:r>
          </w:p>
        </w:tc>
        <w:tc>
          <w:tcPr>
            <w:tcW w:w="1730" w:type="dxa"/>
          </w:tcPr>
          <w:p w:rsidR="00B66A1F" w:rsidRPr="002F6017" w:rsidRDefault="00B66A1F" w:rsidP="009C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017">
              <w:rPr>
                <w:rFonts w:ascii="Times New Roman" w:hAnsi="Times New Roman"/>
                <w:sz w:val="28"/>
                <w:szCs w:val="28"/>
              </w:rPr>
              <w:t>2016 рік</w:t>
            </w:r>
          </w:p>
        </w:tc>
      </w:tr>
    </w:tbl>
    <w:p w:rsidR="004F1499" w:rsidRPr="004F1499" w:rsidRDefault="004F1499" w:rsidP="004F1499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90698F" w:rsidRPr="00AA26A3" w:rsidRDefault="0090698F" w:rsidP="00AA26A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3969">
        <w:rPr>
          <w:rFonts w:ascii="Times New Roman" w:hAnsi="Times New Roman"/>
          <w:b/>
          <w:sz w:val="28"/>
          <w:szCs w:val="28"/>
        </w:rPr>
        <w:t>Очікувані результати:</w:t>
      </w:r>
      <w:r w:rsidR="007C3969">
        <w:rPr>
          <w:rFonts w:ascii="Times New Roman" w:hAnsi="Times New Roman"/>
          <w:b/>
          <w:sz w:val="28"/>
          <w:szCs w:val="28"/>
        </w:rPr>
        <w:t xml:space="preserve"> </w:t>
      </w:r>
      <w:r w:rsidR="007C3969" w:rsidRPr="007C3969">
        <w:rPr>
          <w:rFonts w:ascii="Times New Roman" w:hAnsi="Times New Roman"/>
          <w:sz w:val="28"/>
          <w:szCs w:val="28"/>
        </w:rPr>
        <w:t>р</w:t>
      </w:r>
      <w:r w:rsidR="00FC03D6" w:rsidRPr="007C3969">
        <w:rPr>
          <w:rFonts w:ascii="Times New Roman" w:hAnsi="Times New Roman"/>
          <w:sz w:val="28"/>
          <w:szCs w:val="28"/>
        </w:rPr>
        <w:t xml:space="preserve">еалізація Плану заходів </w:t>
      </w:r>
      <w:r w:rsidR="007C3969" w:rsidRPr="007C3969">
        <w:rPr>
          <w:rFonts w:ascii="Times New Roman" w:hAnsi="Times New Roman"/>
          <w:sz w:val="28"/>
          <w:szCs w:val="28"/>
        </w:rPr>
        <w:t xml:space="preserve">сприятиме прискоренню інтеграції внутрішніх водних шляхів України до мережі Європейських внутрішніх водних шляхів, </w:t>
      </w:r>
      <w:r w:rsidR="00D02B7D">
        <w:rPr>
          <w:rFonts w:ascii="Times New Roman" w:hAnsi="Times New Roman"/>
          <w:sz w:val="28"/>
          <w:szCs w:val="28"/>
        </w:rPr>
        <w:t>залученню</w:t>
      </w:r>
      <w:r w:rsidR="00AA26A3">
        <w:rPr>
          <w:rFonts w:ascii="Times New Roman" w:hAnsi="Times New Roman"/>
          <w:sz w:val="28"/>
          <w:szCs w:val="28"/>
        </w:rPr>
        <w:t xml:space="preserve"> та </w:t>
      </w:r>
      <w:r w:rsidR="00D02B7D">
        <w:rPr>
          <w:rFonts w:ascii="Times New Roman" w:hAnsi="Times New Roman"/>
          <w:sz w:val="28"/>
          <w:szCs w:val="28"/>
        </w:rPr>
        <w:t>переорієнтації</w:t>
      </w:r>
      <w:r w:rsidR="00AA26A3">
        <w:rPr>
          <w:rFonts w:ascii="Times New Roman" w:hAnsi="Times New Roman"/>
          <w:sz w:val="28"/>
          <w:szCs w:val="28"/>
        </w:rPr>
        <w:t xml:space="preserve"> </w:t>
      </w:r>
      <w:r w:rsidR="00AA26A3" w:rsidRPr="00D02B7D">
        <w:rPr>
          <w:rFonts w:ascii="Times New Roman" w:hAnsi="Times New Roman"/>
          <w:sz w:val="28"/>
          <w:szCs w:val="28"/>
        </w:rPr>
        <w:t>вантажопотоків</w:t>
      </w:r>
      <w:r w:rsidR="00D02B7D">
        <w:rPr>
          <w:rFonts w:ascii="Times New Roman" w:hAnsi="Times New Roman"/>
          <w:sz w:val="28"/>
          <w:szCs w:val="28"/>
        </w:rPr>
        <w:t xml:space="preserve"> з інших видів транспорту на водний</w:t>
      </w:r>
      <w:r w:rsidR="00AA26A3" w:rsidRPr="00D02B7D">
        <w:rPr>
          <w:rFonts w:ascii="Times New Roman" w:hAnsi="Times New Roman"/>
          <w:sz w:val="28"/>
          <w:szCs w:val="28"/>
        </w:rPr>
        <w:t xml:space="preserve">, </w:t>
      </w:r>
      <w:r w:rsidR="00D02B7D">
        <w:rPr>
          <w:rFonts w:ascii="Times New Roman" w:hAnsi="Times New Roman"/>
          <w:sz w:val="28"/>
          <w:szCs w:val="28"/>
        </w:rPr>
        <w:t xml:space="preserve">стимулюватиме </w:t>
      </w:r>
      <w:r w:rsidR="00D02B7D" w:rsidRPr="00D02B7D">
        <w:rPr>
          <w:rStyle w:val="hps"/>
          <w:rFonts w:ascii="Times New Roman" w:hAnsi="Times New Roman"/>
          <w:sz w:val="28"/>
          <w:szCs w:val="28"/>
        </w:rPr>
        <w:t>підвищення</w:t>
      </w:r>
      <w:r w:rsidR="00D02B7D" w:rsidRPr="00D02B7D">
        <w:rPr>
          <w:rFonts w:ascii="Times New Roman" w:hAnsi="Times New Roman"/>
          <w:sz w:val="28"/>
          <w:szCs w:val="28"/>
        </w:rPr>
        <w:t xml:space="preserve"> </w:t>
      </w:r>
      <w:r w:rsidR="00D02B7D" w:rsidRPr="00D02B7D">
        <w:rPr>
          <w:rStyle w:val="hps"/>
          <w:rFonts w:ascii="Times New Roman" w:hAnsi="Times New Roman"/>
          <w:sz w:val="28"/>
          <w:szCs w:val="28"/>
        </w:rPr>
        <w:t>мобільності та</w:t>
      </w:r>
      <w:r w:rsidR="00D02B7D" w:rsidRPr="00D02B7D">
        <w:rPr>
          <w:rFonts w:ascii="Times New Roman" w:hAnsi="Times New Roman"/>
          <w:sz w:val="28"/>
          <w:szCs w:val="28"/>
        </w:rPr>
        <w:t xml:space="preserve"> </w:t>
      </w:r>
      <w:r w:rsidR="00D02B7D" w:rsidRPr="00D02B7D">
        <w:rPr>
          <w:rStyle w:val="hps"/>
          <w:rFonts w:ascii="Times New Roman" w:hAnsi="Times New Roman"/>
          <w:sz w:val="28"/>
          <w:szCs w:val="28"/>
        </w:rPr>
        <w:t>мультимодальності,</w:t>
      </w:r>
      <w:r w:rsidR="00D02B7D" w:rsidRPr="00D02B7D">
        <w:rPr>
          <w:rFonts w:ascii="Times New Roman" w:hAnsi="Times New Roman"/>
          <w:sz w:val="28"/>
          <w:szCs w:val="28"/>
        </w:rPr>
        <w:t xml:space="preserve"> </w:t>
      </w:r>
      <w:r w:rsidR="007C3969" w:rsidRPr="00D02B7D">
        <w:rPr>
          <w:rFonts w:ascii="Times New Roman" w:hAnsi="Times New Roman"/>
          <w:sz w:val="28"/>
          <w:szCs w:val="28"/>
        </w:rPr>
        <w:t>а також конкурентоспроможності внутрішнього</w:t>
      </w:r>
      <w:r w:rsidR="007C3969" w:rsidRPr="007C3969">
        <w:rPr>
          <w:rFonts w:ascii="Times New Roman" w:hAnsi="Times New Roman"/>
          <w:sz w:val="28"/>
          <w:szCs w:val="28"/>
        </w:rPr>
        <w:t xml:space="preserve"> водного транспорту шляхом підвищення якості технічного обслуговування водних шляхів</w:t>
      </w:r>
      <w:r w:rsidR="00D02B7D">
        <w:rPr>
          <w:rFonts w:ascii="Times New Roman" w:hAnsi="Times New Roman"/>
          <w:sz w:val="28"/>
          <w:szCs w:val="28"/>
        </w:rPr>
        <w:t>,</w:t>
      </w:r>
      <w:r w:rsidR="007C3969" w:rsidRPr="007C3969">
        <w:rPr>
          <w:rFonts w:ascii="Times New Roman" w:hAnsi="Times New Roman"/>
          <w:sz w:val="28"/>
          <w:szCs w:val="28"/>
        </w:rPr>
        <w:t xml:space="preserve"> удосконалення системи екологічної безпеки, оновлення навігаційні знаки водних шляхів тощо. </w:t>
      </w:r>
    </w:p>
    <w:sectPr w:rsidR="0090698F" w:rsidRPr="00AA26A3" w:rsidSect="00925993">
      <w:pgSz w:w="16838" w:h="11906" w:orient="landscape"/>
      <w:pgMar w:top="850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AAA"/>
    <w:multiLevelType w:val="hybridMultilevel"/>
    <w:tmpl w:val="7F4632CA"/>
    <w:lvl w:ilvl="0" w:tplc="001EF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04852"/>
    <w:multiLevelType w:val="hybridMultilevel"/>
    <w:tmpl w:val="8110E6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CBB"/>
    <w:multiLevelType w:val="hybridMultilevel"/>
    <w:tmpl w:val="96E686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34E49"/>
    <w:multiLevelType w:val="hybridMultilevel"/>
    <w:tmpl w:val="39249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029"/>
    <w:rsid w:val="00126001"/>
    <w:rsid w:val="00166B51"/>
    <w:rsid w:val="0018626F"/>
    <w:rsid w:val="001A7F30"/>
    <w:rsid w:val="00204FAF"/>
    <w:rsid w:val="002231C9"/>
    <w:rsid w:val="002F6017"/>
    <w:rsid w:val="00375D63"/>
    <w:rsid w:val="0045775D"/>
    <w:rsid w:val="00484D19"/>
    <w:rsid w:val="004B4ED8"/>
    <w:rsid w:val="004F1499"/>
    <w:rsid w:val="0052650B"/>
    <w:rsid w:val="00592CE3"/>
    <w:rsid w:val="005A2824"/>
    <w:rsid w:val="005B359E"/>
    <w:rsid w:val="00645CAE"/>
    <w:rsid w:val="006A5298"/>
    <w:rsid w:val="007042C9"/>
    <w:rsid w:val="00744222"/>
    <w:rsid w:val="007A185D"/>
    <w:rsid w:val="007C3969"/>
    <w:rsid w:val="00836FA0"/>
    <w:rsid w:val="008904FC"/>
    <w:rsid w:val="008E20DC"/>
    <w:rsid w:val="0090698F"/>
    <w:rsid w:val="00925993"/>
    <w:rsid w:val="009E5029"/>
    <w:rsid w:val="009E5919"/>
    <w:rsid w:val="00AA26A3"/>
    <w:rsid w:val="00AA62F7"/>
    <w:rsid w:val="00B14338"/>
    <w:rsid w:val="00B6154C"/>
    <w:rsid w:val="00B66A1F"/>
    <w:rsid w:val="00BA714E"/>
    <w:rsid w:val="00BE70E3"/>
    <w:rsid w:val="00BF482A"/>
    <w:rsid w:val="00C946B2"/>
    <w:rsid w:val="00CC2A94"/>
    <w:rsid w:val="00D02B7D"/>
    <w:rsid w:val="00D12F36"/>
    <w:rsid w:val="00D36209"/>
    <w:rsid w:val="00D5634E"/>
    <w:rsid w:val="00E143E1"/>
    <w:rsid w:val="00E15FC5"/>
    <w:rsid w:val="00E311BF"/>
    <w:rsid w:val="00F03256"/>
    <w:rsid w:val="00F07DED"/>
    <w:rsid w:val="00FB3BA4"/>
    <w:rsid w:val="00FC03D6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59E"/>
    <w:pPr>
      <w:spacing w:after="160" w:line="259" w:lineRule="auto"/>
    </w:pPr>
    <w:rPr>
      <w:rFonts w:eastAsia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359E"/>
    <w:pPr>
      <w:ind w:left="720"/>
      <w:contextualSpacing/>
    </w:pPr>
  </w:style>
  <w:style w:type="table" w:styleId="a3">
    <w:name w:val="Table Grid"/>
    <w:basedOn w:val="a1"/>
    <w:rsid w:val="005B359E"/>
    <w:rPr>
      <w:rFonts w:eastAsia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166B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ps">
    <w:name w:val="hps"/>
    <w:basedOn w:val="a0"/>
    <w:rsid w:val="00166B51"/>
  </w:style>
  <w:style w:type="paragraph" w:customStyle="1" w:styleId="10">
    <w:name w:val="Текст1"/>
    <w:basedOn w:val="a"/>
    <w:rsid w:val="00B6154C"/>
    <w:pPr>
      <w:suppressAutoHyphens/>
      <w:spacing w:before="120" w:after="120" w:line="360" w:lineRule="auto"/>
    </w:pPr>
    <w:rPr>
      <w:rFonts w:ascii="Arial" w:hAnsi="Arial"/>
      <w:kern w:val="1"/>
      <w:sz w:val="20"/>
      <w:szCs w:val="24"/>
      <w:lang w:val="de-DE" w:eastAsia="ar-SA"/>
    </w:rPr>
  </w:style>
  <w:style w:type="paragraph" w:customStyle="1" w:styleId="Text">
    <w:name w:val="Text"/>
    <w:basedOn w:val="a"/>
    <w:link w:val="TextChar"/>
    <w:rsid w:val="00FC03D6"/>
    <w:pPr>
      <w:spacing w:before="120" w:after="120" w:line="360" w:lineRule="auto"/>
    </w:pPr>
    <w:rPr>
      <w:rFonts w:ascii="Arial" w:hAnsi="Arial"/>
      <w:sz w:val="20"/>
      <w:szCs w:val="24"/>
      <w:lang w:val="de-DE" w:eastAsia="de-DE"/>
    </w:rPr>
  </w:style>
  <w:style w:type="character" w:customStyle="1" w:styleId="TextChar">
    <w:name w:val="Text Char"/>
    <w:basedOn w:val="a0"/>
    <w:link w:val="Text"/>
    <w:rsid w:val="00FC03D6"/>
    <w:rPr>
      <w:rFonts w:ascii="Arial" w:eastAsia="Times New Roman" w:hAnsi="Arial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Panasiuk</dc:creator>
  <cp:keywords/>
  <dc:description/>
  <cp:lastModifiedBy>Проскура Елена Александровна</cp:lastModifiedBy>
  <cp:revision>6</cp:revision>
  <cp:lastPrinted>2015-01-16T07:17:00Z</cp:lastPrinted>
  <dcterms:created xsi:type="dcterms:W3CDTF">2015-02-16T07:39:00Z</dcterms:created>
  <dcterms:modified xsi:type="dcterms:W3CDTF">2015-03-04T14:08:00Z</dcterms:modified>
</cp:coreProperties>
</file>