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6677" w:rsidRPr="00530DAB" w:rsidRDefault="000B3E70" w:rsidP="00643CCE">
      <w:pPr>
        <w:ind w:firstLine="7937"/>
        <w:jc w:val="both"/>
      </w:pPr>
      <w:r w:rsidRPr="00530DAB">
        <w:t>ПРОЄКТ</w:t>
      </w:r>
    </w:p>
    <w:p w14:paraId="00000002" w14:textId="77777777" w:rsidR="002F6677" w:rsidRPr="00530DAB" w:rsidRDefault="002F6677" w:rsidP="00643CCE">
      <w:pPr>
        <w:jc w:val="both"/>
        <w:rPr>
          <w:b/>
          <w:sz w:val="28"/>
          <w:szCs w:val="28"/>
        </w:rPr>
      </w:pPr>
    </w:p>
    <w:p w14:paraId="00000003" w14:textId="77777777" w:rsidR="002F6677" w:rsidRPr="00530DAB" w:rsidRDefault="000B3E70" w:rsidP="00643CCE">
      <w:pPr>
        <w:ind w:left="4393" w:right="-136" w:hanging="141"/>
        <w:jc w:val="center"/>
        <w:rPr>
          <w:b/>
          <w:sz w:val="28"/>
          <w:szCs w:val="28"/>
        </w:rPr>
      </w:pPr>
      <w:r w:rsidRPr="00530DAB">
        <w:rPr>
          <w:b/>
          <w:sz w:val="28"/>
          <w:szCs w:val="28"/>
        </w:rPr>
        <w:t>ЗАТВЕРДЖЕНО</w:t>
      </w:r>
    </w:p>
    <w:p w14:paraId="00000004" w14:textId="77777777" w:rsidR="002F6677" w:rsidRPr="00530DAB" w:rsidRDefault="000B3E70" w:rsidP="00643CCE">
      <w:pPr>
        <w:ind w:left="4393" w:right="-136" w:hanging="141"/>
        <w:jc w:val="center"/>
        <w:rPr>
          <w:b/>
          <w:sz w:val="28"/>
          <w:szCs w:val="28"/>
        </w:rPr>
      </w:pPr>
      <w:r w:rsidRPr="00530DAB">
        <w:rPr>
          <w:b/>
          <w:sz w:val="28"/>
          <w:szCs w:val="28"/>
        </w:rPr>
        <w:t>постановою Кабінету Міністрів України</w:t>
      </w:r>
    </w:p>
    <w:p w14:paraId="00000005" w14:textId="77777777" w:rsidR="002F6677" w:rsidRPr="00530DAB" w:rsidRDefault="000B3E70" w:rsidP="00643CCE">
      <w:pPr>
        <w:ind w:left="4393" w:right="-136" w:hanging="141"/>
        <w:jc w:val="center"/>
        <w:rPr>
          <w:b/>
          <w:sz w:val="28"/>
          <w:szCs w:val="28"/>
        </w:rPr>
      </w:pPr>
      <w:r w:rsidRPr="00530DAB">
        <w:rPr>
          <w:b/>
          <w:sz w:val="28"/>
          <w:szCs w:val="28"/>
        </w:rPr>
        <w:t>від ________________ 202_ р. № ____</w:t>
      </w:r>
    </w:p>
    <w:p w14:paraId="00000006" w14:textId="77777777" w:rsidR="002F6677" w:rsidRPr="00530DAB" w:rsidRDefault="002F6677" w:rsidP="00643CCE">
      <w:pPr>
        <w:jc w:val="center"/>
        <w:rPr>
          <w:b/>
          <w:sz w:val="28"/>
          <w:szCs w:val="28"/>
        </w:rPr>
      </w:pPr>
    </w:p>
    <w:p w14:paraId="00000007" w14:textId="77777777" w:rsidR="002F6677" w:rsidRPr="00530DAB" w:rsidRDefault="002F6677" w:rsidP="00643CCE">
      <w:pPr>
        <w:jc w:val="center"/>
        <w:rPr>
          <w:b/>
          <w:sz w:val="28"/>
          <w:szCs w:val="28"/>
        </w:rPr>
      </w:pPr>
    </w:p>
    <w:p w14:paraId="00000008" w14:textId="77777777" w:rsidR="002F6677" w:rsidRPr="00530DAB" w:rsidRDefault="000B3E70" w:rsidP="00643CCE">
      <w:pPr>
        <w:jc w:val="center"/>
        <w:rPr>
          <w:b/>
          <w:sz w:val="28"/>
          <w:szCs w:val="28"/>
        </w:rPr>
      </w:pPr>
      <w:r w:rsidRPr="00530DAB">
        <w:rPr>
          <w:b/>
          <w:sz w:val="28"/>
          <w:szCs w:val="28"/>
        </w:rPr>
        <w:t>ПОЛОЖЕННЯ</w:t>
      </w:r>
    </w:p>
    <w:p w14:paraId="00000009" w14:textId="77777777" w:rsidR="002F6677" w:rsidRPr="00530DAB" w:rsidRDefault="000B3E70" w:rsidP="00643CCE">
      <w:pPr>
        <w:jc w:val="center"/>
        <w:rPr>
          <w:b/>
          <w:sz w:val="28"/>
          <w:szCs w:val="28"/>
        </w:rPr>
      </w:pPr>
      <w:r w:rsidRPr="00530DAB">
        <w:rPr>
          <w:b/>
          <w:sz w:val="28"/>
          <w:szCs w:val="28"/>
        </w:rPr>
        <w:t>про базову організацію у будівництві</w:t>
      </w:r>
    </w:p>
    <w:p w14:paraId="0000000A" w14:textId="77777777" w:rsidR="002F6677" w:rsidRPr="00530DAB" w:rsidRDefault="002F6677" w:rsidP="00643CCE">
      <w:pPr>
        <w:ind w:firstLine="709"/>
        <w:jc w:val="both"/>
        <w:rPr>
          <w:sz w:val="28"/>
          <w:szCs w:val="28"/>
        </w:rPr>
      </w:pPr>
    </w:p>
    <w:p w14:paraId="0000000B" w14:textId="77777777" w:rsidR="002F6677" w:rsidRPr="00530DAB" w:rsidRDefault="000B3E70" w:rsidP="00643CCE">
      <w:pPr>
        <w:spacing w:after="60"/>
        <w:jc w:val="center"/>
        <w:rPr>
          <w:sz w:val="28"/>
          <w:szCs w:val="28"/>
        </w:rPr>
      </w:pPr>
      <w:r w:rsidRPr="00530DAB">
        <w:rPr>
          <w:b/>
          <w:sz w:val="28"/>
          <w:szCs w:val="28"/>
          <w:highlight w:val="white"/>
        </w:rPr>
        <w:t>Загальні положення</w:t>
      </w:r>
    </w:p>
    <w:p w14:paraId="0000000C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1. Це Положення визначає функції, завдання та вимоги щодо компетентності базових організацій у будівництві, а також механізм формування переліку та оцінювання ефективності діяльності базових організацій у будівництві.</w:t>
      </w:r>
    </w:p>
    <w:p w14:paraId="0000000D" w14:textId="77777777" w:rsidR="002F6677" w:rsidRPr="00530DAB" w:rsidRDefault="000B3E70" w:rsidP="00643CCE">
      <w:pPr>
        <w:ind w:firstLine="709"/>
        <w:rPr>
          <w:sz w:val="28"/>
          <w:szCs w:val="28"/>
          <w:highlight w:val="white"/>
        </w:rPr>
      </w:pPr>
      <w:r w:rsidRPr="00530DAB">
        <w:rPr>
          <w:sz w:val="28"/>
          <w:szCs w:val="28"/>
        </w:rPr>
        <w:t xml:space="preserve">2. </w:t>
      </w:r>
      <w:r w:rsidRPr="00530DAB">
        <w:rPr>
          <w:sz w:val="28"/>
          <w:szCs w:val="28"/>
          <w:highlight w:val="white"/>
        </w:rPr>
        <w:t>У цьому Положенні терміни вживаютьс</w:t>
      </w:r>
      <w:r w:rsidRPr="00530DAB">
        <w:rPr>
          <w:sz w:val="28"/>
          <w:szCs w:val="28"/>
          <w:highlight w:val="white"/>
        </w:rPr>
        <w:t>я у такому значенні:</w:t>
      </w:r>
    </w:p>
    <w:p w14:paraId="0000000E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компетентність базової організації у будівництві – інтегральн</w:t>
      </w:r>
      <w:r w:rsidRPr="00530DAB">
        <w:rPr>
          <w:sz w:val="28"/>
          <w:szCs w:val="28"/>
        </w:rPr>
        <w:t>ий комплекс</w:t>
      </w:r>
      <w:r w:rsidRPr="00530DAB">
        <w:rPr>
          <w:sz w:val="28"/>
          <w:szCs w:val="28"/>
        </w:rPr>
        <w:t xml:space="preserve"> знань, умінь, навичок, способів мислення, поглядів, цінностей, інших особистих якостей персоналу, наявної організаційної структури, матеріально-технічної бази та </w:t>
      </w:r>
      <w:r w:rsidRPr="00530DAB">
        <w:rPr>
          <w:sz w:val="28"/>
          <w:szCs w:val="28"/>
        </w:rPr>
        <w:t>методів уп</w:t>
      </w:r>
      <w:bookmarkStart w:id="0" w:name="_GoBack"/>
      <w:bookmarkEnd w:id="0"/>
      <w:r w:rsidRPr="00530DAB">
        <w:rPr>
          <w:sz w:val="28"/>
          <w:szCs w:val="28"/>
        </w:rPr>
        <w:t>равління, що зумовлюють спроможність підприємства, установи чи організації виконувати основн</w:t>
      </w:r>
      <w:r w:rsidRPr="00530DAB">
        <w:rPr>
          <w:sz w:val="28"/>
          <w:szCs w:val="28"/>
        </w:rPr>
        <w:t xml:space="preserve">і </w:t>
      </w:r>
      <w:r w:rsidRPr="00530DAB">
        <w:rPr>
          <w:sz w:val="28"/>
          <w:szCs w:val="28"/>
        </w:rPr>
        <w:t xml:space="preserve">завдання базової організації у будівництві, та характеризується сукупністю відповідних </w:t>
      </w:r>
      <w:r w:rsidRPr="00530DAB">
        <w:rPr>
          <w:sz w:val="28"/>
          <w:szCs w:val="28"/>
        </w:rPr>
        <w:t>кваліфікаційних характеристик;</w:t>
      </w:r>
    </w:p>
    <w:p w14:paraId="0000000F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напрям науково-технічної діяльност</w:t>
      </w:r>
      <w:r w:rsidRPr="00530DAB">
        <w:rPr>
          <w:sz w:val="28"/>
          <w:szCs w:val="28"/>
        </w:rPr>
        <w:t>і у будівництві – визначена сфера, в якій базова організація у будівництві здійснює науково-технічне, дослідне, методичне та інформаційне забезпечення діяльності у будівництві.</w:t>
      </w:r>
    </w:p>
    <w:p w14:paraId="00000010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Інші терміни у цьому Положенні вживаються у значенні, наведеному у Законах України «Про будівельні норми», «Про наукову та науково-технічну діяльність», «Про адміністративну процедуру», «Про регулювання містобудівної діяльності», «Про архітектурну діяльніс</w:t>
      </w:r>
      <w:r w:rsidRPr="00530DAB">
        <w:rPr>
          <w:sz w:val="28"/>
          <w:szCs w:val="28"/>
        </w:rPr>
        <w:t xml:space="preserve">ть», Порядку проведення професійної атестації виконавців окремих видів робіт (послуг), пов’язаних із створенням об’єктів архітектури, затвердженому постановою Кабінету Міністрів України від  23 травня 2011 р. № 554 (в редакції постанови Кабінету Міністрів </w:t>
      </w:r>
      <w:r w:rsidRPr="00530DAB">
        <w:rPr>
          <w:sz w:val="28"/>
          <w:szCs w:val="28"/>
        </w:rPr>
        <w:t>України від 23 червня 2021 р. № 651).</w:t>
      </w:r>
    </w:p>
    <w:p w14:paraId="00000011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3. Базова організація у будівництві (далі – базова організація) у своїй діяльності керується Конституцією України та законами України, указами Президента України та постановами Верховної Ради України, прийнятими відпов</w:t>
      </w:r>
      <w:r w:rsidRPr="00530DAB">
        <w:rPr>
          <w:sz w:val="28"/>
          <w:szCs w:val="28"/>
        </w:rPr>
        <w:t>ідно до Конституції та законів України, актами Кабінету Міністрів України, іншими нормативно-правовими актами, а також цим Положенням.</w:t>
      </w:r>
    </w:p>
    <w:p w14:paraId="62A679FF" w14:textId="7ABC774E" w:rsidR="006D5A0F" w:rsidRPr="00530DAB" w:rsidRDefault="006D5A0F" w:rsidP="00643CCE">
      <w:pPr>
        <w:rPr>
          <w:sz w:val="28"/>
          <w:szCs w:val="28"/>
        </w:rPr>
      </w:pPr>
    </w:p>
    <w:p w14:paraId="00000013" w14:textId="7836A009" w:rsidR="002F6677" w:rsidRPr="00530DAB" w:rsidRDefault="000B3E70" w:rsidP="00643CCE">
      <w:pPr>
        <w:spacing w:after="60"/>
        <w:jc w:val="center"/>
        <w:rPr>
          <w:sz w:val="28"/>
          <w:szCs w:val="28"/>
        </w:rPr>
      </w:pPr>
      <w:r w:rsidRPr="00530DAB">
        <w:rPr>
          <w:b/>
          <w:sz w:val="28"/>
          <w:szCs w:val="28"/>
          <w:highlight w:val="white"/>
        </w:rPr>
        <w:t>Функції, завдання та права базової організації</w:t>
      </w:r>
    </w:p>
    <w:p w14:paraId="00000014" w14:textId="77777777" w:rsidR="002F6677" w:rsidRPr="00530DAB" w:rsidRDefault="000B3E70" w:rsidP="00643CCE">
      <w:pP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</w:rPr>
        <w:t xml:space="preserve">4. </w:t>
      </w:r>
      <w:r w:rsidRPr="00530DAB">
        <w:rPr>
          <w:sz w:val="28"/>
          <w:szCs w:val="28"/>
          <w:highlight w:val="white"/>
        </w:rPr>
        <w:t>Базові організації визначаються Мінрозвитку із числа підприємств, уста</w:t>
      </w:r>
      <w:r w:rsidRPr="00530DAB">
        <w:rPr>
          <w:sz w:val="28"/>
          <w:szCs w:val="28"/>
          <w:highlight w:val="white"/>
        </w:rPr>
        <w:t xml:space="preserve">нов та організацій, що мають необхідні компетенції, визначені </w:t>
      </w:r>
      <w:r w:rsidRPr="00530DAB">
        <w:rPr>
          <w:sz w:val="28"/>
          <w:szCs w:val="28"/>
        </w:rPr>
        <w:t>пунктом 6 ц</w:t>
      </w:r>
      <w:r w:rsidRPr="00530DAB">
        <w:rPr>
          <w:sz w:val="28"/>
          <w:szCs w:val="28"/>
          <w:highlight w:val="white"/>
        </w:rPr>
        <w:t xml:space="preserve">ього Положення, з метою </w:t>
      </w:r>
      <w:r w:rsidRPr="00530DAB">
        <w:rPr>
          <w:sz w:val="28"/>
          <w:szCs w:val="28"/>
        </w:rPr>
        <w:t>здійснення науково-технічного, дослідного, методичного та інформаційного забезпечення діяльності у будівництві.</w:t>
      </w:r>
    </w:p>
    <w:p w14:paraId="00000015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  <w:highlight w:val="white"/>
        </w:rPr>
        <w:lastRenderedPageBreak/>
        <w:t>5</w:t>
      </w:r>
      <w:r w:rsidRPr="00530DAB">
        <w:rPr>
          <w:sz w:val="28"/>
          <w:szCs w:val="28"/>
        </w:rPr>
        <w:t>. Основними завданнями базової організації є:</w:t>
      </w:r>
    </w:p>
    <w:p w14:paraId="00000016" w14:textId="726A4BB8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1) </w:t>
      </w:r>
      <w:r w:rsidR="000B3E70" w:rsidRPr="00530DAB">
        <w:rPr>
          <w:sz w:val="28"/>
          <w:szCs w:val="28"/>
        </w:rPr>
        <w:t>збір та узагальнення відомостей про стан науково-технічного розвитку будівельної галузі на с</w:t>
      </w:r>
      <w:r w:rsidRPr="00530DAB">
        <w:rPr>
          <w:sz w:val="28"/>
          <w:szCs w:val="28"/>
        </w:rPr>
        <w:t>вітовому і національному рівні;</w:t>
      </w:r>
    </w:p>
    <w:p w14:paraId="00000017" w14:textId="384E096C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2) розроблення проектів будівельних норм (нових будівельних норм, нових редакцій або</w:t>
      </w:r>
      <w:r w:rsidR="006D5A0F" w:rsidRPr="00530DAB">
        <w:rPr>
          <w:sz w:val="28"/>
          <w:szCs w:val="28"/>
        </w:rPr>
        <w:t xml:space="preserve"> змін чинних будівельних норм);</w:t>
      </w:r>
    </w:p>
    <w:p w14:paraId="00000018" w14:textId="4776F9FB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3) </w:t>
      </w:r>
      <w:r w:rsidR="000B3E70" w:rsidRPr="00530DAB">
        <w:rPr>
          <w:sz w:val="28"/>
          <w:szCs w:val="28"/>
        </w:rPr>
        <w:t xml:space="preserve">розгляд </w:t>
      </w:r>
      <w:r w:rsidR="000B3E70" w:rsidRPr="00530DAB">
        <w:rPr>
          <w:sz w:val="28"/>
          <w:szCs w:val="28"/>
        </w:rPr>
        <w:t>та перевірка проектів будівельних норм, розроблених іншими базовими організац</w:t>
      </w:r>
      <w:r w:rsidRPr="00530DAB">
        <w:rPr>
          <w:sz w:val="28"/>
          <w:szCs w:val="28"/>
        </w:rPr>
        <w:t>іями або суб’єктами нормування;</w:t>
      </w:r>
    </w:p>
    <w:p w14:paraId="00000019" w14:textId="426963C0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4) </w:t>
      </w:r>
      <w:r w:rsidR="000B3E70" w:rsidRPr="00530DAB">
        <w:rPr>
          <w:sz w:val="28"/>
          <w:szCs w:val="28"/>
        </w:rPr>
        <w:t>перевірка чинних будівельних норм щодо відповідності вимогам  законодавства, забезпечення їх взає</w:t>
      </w:r>
      <w:r w:rsidRPr="00530DAB">
        <w:rPr>
          <w:sz w:val="28"/>
          <w:szCs w:val="28"/>
        </w:rPr>
        <w:t>моузгодженості та актуалізації;</w:t>
      </w:r>
    </w:p>
    <w:p w14:paraId="0000001A" w14:textId="0AF16D0F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5) </w:t>
      </w:r>
      <w:r w:rsidR="000B3E70" w:rsidRPr="00530DAB">
        <w:rPr>
          <w:sz w:val="28"/>
          <w:szCs w:val="28"/>
        </w:rPr>
        <w:t>проведення</w:t>
      </w:r>
      <w:r w:rsidR="000B3E70" w:rsidRPr="00530DAB">
        <w:rPr>
          <w:sz w:val="28"/>
          <w:szCs w:val="28"/>
        </w:rPr>
        <w:t xml:space="preserve"> на безоплатній основі моніторингу будівельних норм, надання роз’яснень, консуль</w:t>
      </w:r>
      <w:r w:rsidRPr="00530DAB">
        <w:rPr>
          <w:sz w:val="28"/>
          <w:szCs w:val="28"/>
        </w:rPr>
        <w:t>тацій, інформаційної підтримки;</w:t>
      </w:r>
    </w:p>
    <w:p w14:paraId="0000001B" w14:textId="4CBE4B7E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6) </w:t>
      </w:r>
      <w:r w:rsidR="000B3E70" w:rsidRPr="00530DAB">
        <w:rPr>
          <w:sz w:val="28"/>
          <w:szCs w:val="28"/>
        </w:rPr>
        <w:t xml:space="preserve">внесення пропозицій щодо пріоритетів наукових досліджень та науково-технічних (експериментальних) розробок у будівництві, що проводяться за </w:t>
      </w:r>
      <w:r w:rsidR="000B3E70" w:rsidRPr="00530DAB">
        <w:rPr>
          <w:sz w:val="28"/>
          <w:szCs w:val="28"/>
        </w:rPr>
        <w:t>рахунок бюджетних коштів, доцільності, умов та порядку впровадження новітніх технологій;</w:t>
      </w:r>
    </w:p>
    <w:p w14:paraId="0000001C" w14:textId="4A81F719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  <w:highlight w:val="white"/>
        </w:rPr>
        <w:t xml:space="preserve">7) </w:t>
      </w:r>
      <w:r w:rsidR="000B3E70" w:rsidRPr="00530DAB">
        <w:rPr>
          <w:sz w:val="28"/>
          <w:szCs w:val="28"/>
          <w:highlight w:val="white"/>
        </w:rPr>
        <w:t>висвітлення результатів своєї діяльності, в тому числі у наукових та фахових виданнях, на кон</w:t>
      </w:r>
      <w:r w:rsidR="000B3E70" w:rsidRPr="00530DAB">
        <w:rPr>
          <w:sz w:val="28"/>
          <w:szCs w:val="28"/>
        </w:rPr>
        <w:t>ференціях, симпозіумах, семінарах тощо.</w:t>
      </w:r>
    </w:p>
    <w:p w14:paraId="0000001D" w14:textId="775CD913" w:rsidR="002F6677" w:rsidRPr="00530DAB" w:rsidRDefault="006D5A0F" w:rsidP="00643CCE">
      <w:pPr>
        <w:ind w:firstLine="709"/>
        <w:jc w:val="both"/>
        <w:rPr>
          <w:sz w:val="28"/>
          <w:szCs w:val="28"/>
          <w:highlight w:val="yellow"/>
        </w:rPr>
      </w:pPr>
      <w:r w:rsidRPr="00530DAB">
        <w:rPr>
          <w:sz w:val="28"/>
          <w:szCs w:val="28"/>
        </w:rPr>
        <w:t xml:space="preserve">6. </w:t>
      </w:r>
      <w:r w:rsidR="000B3E70" w:rsidRPr="00530DAB">
        <w:rPr>
          <w:sz w:val="28"/>
          <w:szCs w:val="28"/>
        </w:rPr>
        <w:t>Напрями науково-технічної ді</w:t>
      </w:r>
      <w:r w:rsidR="000B3E70" w:rsidRPr="00530DAB">
        <w:rPr>
          <w:sz w:val="28"/>
          <w:szCs w:val="28"/>
        </w:rPr>
        <w:t>яльності у будівництві для цілей виконання завдань базової організац</w:t>
      </w:r>
      <w:r w:rsidRPr="00530DAB">
        <w:rPr>
          <w:sz w:val="28"/>
          <w:szCs w:val="28"/>
        </w:rPr>
        <w:t>ії визначаються Мінрозвитку за:</w:t>
      </w:r>
    </w:p>
    <w:p w14:paraId="0000001E" w14:textId="5B84963B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об’єктами нормування у будівництві відповідно до Закону України «Про будівельні норми» (</w:t>
      </w:r>
      <w:hyperlink r:id="rId8">
        <w:r w:rsidRPr="00530DAB">
          <w:rPr>
            <w:sz w:val="28"/>
            <w:szCs w:val="28"/>
          </w:rPr>
          <w:t>1704-17</w:t>
        </w:r>
      </w:hyperlink>
      <w:r w:rsidR="006D5A0F" w:rsidRPr="00530DAB">
        <w:rPr>
          <w:sz w:val="28"/>
          <w:szCs w:val="28"/>
        </w:rPr>
        <w:t>);</w:t>
      </w:r>
    </w:p>
    <w:p w14:paraId="0000001F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групами будівель та споруд відповідно до НК 018:2023 «Класифікатор будівель і споруд»;</w:t>
      </w:r>
    </w:p>
    <w:p w14:paraId="00000020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основними вимогами до споруд відповідно до Закону України «Про будівельні норми» (</w:t>
      </w:r>
      <w:hyperlink r:id="rId9">
        <w:r w:rsidRPr="00530DAB">
          <w:rPr>
            <w:sz w:val="28"/>
            <w:szCs w:val="28"/>
          </w:rPr>
          <w:t>1704-17</w:t>
        </w:r>
      </w:hyperlink>
      <w:r w:rsidRPr="00530DAB">
        <w:rPr>
          <w:sz w:val="28"/>
          <w:szCs w:val="28"/>
        </w:rPr>
        <w:t xml:space="preserve">); </w:t>
      </w:r>
    </w:p>
    <w:p w14:paraId="00000021" w14:textId="6B3259DC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ум</w:t>
      </w:r>
      <w:r w:rsidRPr="00530DAB">
        <w:rPr>
          <w:sz w:val="28"/>
          <w:szCs w:val="28"/>
        </w:rPr>
        <w:t>ова</w:t>
      </w:r>
      <w:r w:rsidR="006D5A0F" w:rsidRPr="00530DAB">
        <w:rPr>
          <w:sz w:val="28"/>
          <w:szCs w:val="28"/>
        </w:rPr>
        <w:t>ми та технологіями будівництва;</w:t>
      </w:r>
    </w:p>
    <w:p w14:paraId="00000022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організацією та економікою будівництва.</w:t>
      </w:r>
    </w:p>
    <w:p w14:paraId="00000023" w14:textId="77777777" w:rsidR="002F6677" w:rsidRPr="00530DAB" w:rsidRDefault="002F6677" w:rsidP="00643CCE">
      <w:pPr>
        <w:ind w:firstLine="709"/>
        <w:jc w:val="both"/>
        <w:rPr>
          <w:sz w:val="28"/>
          <w:szCs w:val="28"/>
        </w:rPr>
      </w:pPr>
    </w:p>
    <w:p w14:paraId="00000024" w14:textId="77777777" w:rsidR="002F6677" w:rsidRPr="00530DAB" w:rsidRDefault="000B3E70" w:rsidP="00643CCE">
      <w:pPr>
        <w:spacing w:after="60"/>
        <w:jc w:val="center"/>
        <w:rPr>
          <w:sz w:val="28"/>
          <w:szCs w:val="28"/>
        </w:rPr>
      </w:pPr>
      <w:r w:rsidRPr="00530DAB">
        <w:rPr>
          <w:b/>
          <w:sz w:val="28"/>
          <w:szCs w:val="28"/>
        </w:rPr>
        <w:t>Компетентності ба</w:t>
      </w:r>
      <w:r w:rsidRPr="00530DAB">
        <w:rPr>
          <w:b/>
          <w:sz w:val="28"/>
          <w:szCs w:val="28"/>
          <w:highlight w:val="white"/>
        </w:rPr>
        <w:t>зової організації</w:t>
      </w:r>
    </w:p>
    <w:p w14:paraId="00000025" w14:textId="5FA78B32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7</w:t>
      </w:r>
      <w:r w:rsidRPr="00530DAB">
        <w:rPr>
          <w:sz w:val="28"/>
          <w:szCs w:val="28"/>
        </w:rPr>
        <w:t>. Ключовими компетентностями базової організації у будівництві, що зумовлюють її спроможність виконувати основн</w:t>
      </w:r>
      <w:r w:rsidRPr="00530DAB">
        <w:rPr>
          <w:sz w:val="28"/>
          <w:szCs w:val="28"/>
        </w:rPr>
        <w:t xml:space="preserve">і </w:t>
      </w:r>
      <w:r w:rsidRPr="00530DAB">
        <w:rPr>
          <w:sz w:val="28"/>
          <w:szCs w:val="28"/>
        </w:rPr>
        <w:t>завдання, визначен</w:t>
      </w:r>
      <w:r w:rsidRPr="00530DAB">
        <w:rPr>
          <w:sz w:val="28"/>
          <w:szCs w:val="28"/>
          <w:highlight w:val="white"/>
        </w:rPr>
        <w:t xml:space="preserve">і у пункті </w:t>
      </w:r>
      <w:r w:rsidRPr="00530DAB">
        <w:rPr>
          <w:sz w:val="28"/>
          <w:szCs w:val="28"/>
          <w:highlight w:val="white"/>
        </w:rPr>
        <w:t>5</w:t>
      </w:r>
      <w:r w:rsidRPr="00530DAB">
        <w:rPr>
          <w:sz w:val="28"/>
          <w:szCs w:val="28"/>
          <w:highlight w:val="white"/>
        </w:rPr>
        <w:t xml:space="preserve"> цього Положення, за відповідним напрямом або на</w:t>
      </w:r>
      <w:r w:rsidRPr="00530DAB">
        <w:rPr>
          <w:sz w:val="28"/>
          <w:szCs w:val="28"/>
        </w:rPr>
        <w:t xml:space="preserve">прямами </w:t>
      </w:r>
      <w:r w:rsidR="006D5A0F" w:rsidRPr="00530DAB">
        <w:rPr>
          <w:sz w:val="28"/>
          <w:szCs w:val="28"/>
        </w:rPr>
        <w:t>науково-технічної діяльності є:</w:t>
      </w:r>
    </w:p>
    <w:p w14:paraId="00000026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1) фахова (професійна) компетентність, що полягає у наявності</w:t>
      </w:r>
      <w:r w:rsidRPr="00530DAB">
        <w:rPr>
          <w:sz w:val="28"/>
          <w:szCs w:val="28"/>
        </w:rPr>
        <w:t xml:space="preserve"> </w:t>
      </w:r>
      <w:r w:rsidRPr="00530DAB">
        <w:rPr>
          <w:sz w:val="28"/>
          <w:szCs w:val="28"/>
        </w:rPr>
        <w:t xml:space="preserve">систематичних знань, </w:t>
      </w:r>
      <w:r w:rsidRPr="00530DAB">
        <w:rPr>
          <w:sz w:val="28"/>
          <w:szCs w:val="28"/>
        </w:rPr>
        <w:t>умінь</w:t>
      </w:r>
      <w:r w:rsidRPr="00530DAB">
        <w:rPr>
          <w:sz w:val="28"/>
          <w:szCs w:val="28"/>
        </w:rPr>
        <w:t xml:space="preserve"> </w:t>
      </w:r>
      <w:r w:rsidRPr="00530DAB">
        <w:rPr>
          <w:sz w:val="28"/>
          <w:szCs w:val="28"/>
        </w:rPr>
        <w:t xml:space="preserve">та </w:t>
      </w:r>
      <w:r w:rsidRPr="00530DAB">
        <w:rPr>
          <w:sz w:val="28"/>
          <w:szCs w:val="28"/>
        </w:rPr>
        <w:t>здібностей, які виникли в процесі професійної підготовки і закріплені досві</w:t>
      </w:r>
      <w:r w:rsidRPr="00530DAB">
        <w:rPr>
          <w:sz w:val="28"/>
          <w:szCs w:val="28"/>
        </w:rPr>
        <w:t>дом професійної діяльності, що забезпечує реалізацію необхідних компетенцій і дає можливість вирішувати покладені на</w:t>
      </w:r>
      <w:r w:rsidRPr="00530DAB">
        <w:rPr>
          <w:sz w:val="28"/>
          <w:szCs w:val="28"/>
        </w:rPr>
        <w:t xml:space="preserve"> базову організацію у будівництві</w:t>
      </w:r>
      <w:r w:rsidRPr="00530DAB">
        <w:rPr>
          <w:sz w:val="28"/>
          <w:szCs w:val="28"/>
        </w:rPr>
        <w:t xml:space="preserve"> фахові завдання;</w:t>
      </w:r>
    </w:p>
    <w:p w14:paraId="00000027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2) дослідницька компетентність, що полягає у здатності </w:t>
      </w:r>
      <w:r w:rsidRPr="00530DAB">
        <w:rPr>
          <w:sz w:val="28"/>
          <w:szCs w:val="28"/>
        </w:rPr>
        <w:t xml:space="preserve">організувати проведення </w:t>
      </w:r>
      <w:r w:rsidRPr="00530DAB">
        <w:rPr>
          <w:sz w:val="28"/>
          <w:szCs w:val="28"/>
        </w:rPr>
        <w:t>наукові до</w:t>
      </w:r>
      <w:r w:rsidRPr="00530DAB">
        <w:rPr>
          <w:sz w:val="28"/>
          <w:szCs w:val="28"/>
        </w:rPr>
        <w:t>слідження;</w:t>
      </w:r>
    </w:p>
    <w:p w14:paraId="00000028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3) організаційна компетентність, що полягає у здатності забезпечити послідовність, надійність, об’єктивність та простежуваність процесів шляхом постійного використання належних методів управління;</w:t>
      </w:r>
    </w:p>
    <w:p w14:paraId="00000029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4) етична компетентність, що полягає у</w:t>
      </w:r>
      <w:r w:rsidRPr="00530DAB">
        <w:rPr>
          <w:sz w:val="28"/>
          <w:szCs w:val="28"/>
        </w:rPr>
        <w:t xml:space="preserve"> дотриманн</w:t>
      </w:r>
      <w:r w:rsidRPr="00530DAB">
        <w:rPr>
          <w:sz w:val="28"/>
          <w:szCs w:val="28"/>
        </w:rPr>
        <w:t xml:space="preserve">і етичних правил та норм, принципів </w:t>
      </w:r>
      <w:r w:rsidRPr="00530DAB">
        <w:rPr>
          <w:sz w:val="28"/>
          <w:szCs w:val="28"/>
        </w:rPr>
        <w:t>академічн</w:t>
      </w:r>
      <w:r w:rsidRPr="00530DAB">
        <w:rPr>
          <w:sz w:val="28"/>
          <w:szCs w:val="28"/>
        </w:rPr>
        <w:t>ої</w:t>
      </w:r>
      <w:r w:rsidRPr="00530DAB">
        <w:rPr>
          <w:sz w:val="28"/>
          <w:szCs w:val="28"/>
        </w:rPr>
        <w:t xml:space="preserve"> доброчесності, толерантності, відмові від </w:t>
      </w:r>
      <w:r w:rsidRPr="00530DAB">
        <w:rPr>
          <w:sz w:val="28"/>
          <w:szCs w:val="28"/>
        </w:rPr>
        <w:lastRenderedPageBreak/>
        <w:t>превалювання приватного інтересу та незалежності у прийнятті рішень від заінтересованих осіб і від будь-яких особливих інтересів.</w:t>
      </w:r>
    </w:p>
    <w:p w14:paraId="0000002A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8</w:t>
      </w:r>
      <w:r w:rsidRPr="00530DAB">
        <w:rPr>
          <w:sz w:val="28"/>
          <w:szCs w:val="28"/>
        </w:rPr>
        <w:t xml:space="preserve">. </w:t>
      </w:r>
      <w:r w:rsidRPr="00530DAB">
        <w:rPr>
          <w:sz w:val="28"/>
          <w:szCs w:val="28"/>
          <w:highlight w:val="white"/>
        </w:rPr>
        <w:t>Відповідно до компетентностей,</w:t>
      </w:r>
      <w:r w:rsidRPr="00530DAB">
        <w:rPr>
          <w:sz w:val="28"/>
          <w:szCs w:val="28"/>
        </w:rPr>
        <w:t xml:space="preserve"> ви</w:t>
      </w:r>
      <w:r w:rsidRPr="00530DAB">
        <w:rPr>
          <w:sz w:val="28"/>
          <w:szCs w:val="28"/>
        </w:rPr>
        <w:t>значених </w:t>
      </w:r>
      <w:hyperlink r:id="rId10" w:anchor="n185">
        <w:r w:rsidRPr="00530DAB">
          <w:rPr>
            <w:sz w:val="28"/>
            <w:szCs w:val="28"/>
          </w:rPr>
          <w:t>пунктом</w:t>
        </w:r>
      </w:hyperlink>
      <w:r w:rsidRPr="00530DAB">
        <w:rPr>
          <w:sz w:val="28"/>
          <w:szCs w:val="28"/>
        </w:rPr>
        <w:t xml:space="preserve"> 6</w:t>
      </w:r>
      <w:r w:rsidRPr="00530DAB">
        <w:rPr>
          <w:sz w:val="28"/>
          <w:szCs w:val="28"/>
        </w:rPr>
        <w:t xml:space="preserve"> цього Положення, б</w:t>
      </w:r>
      <w:r w:rsidRPr="00530DAB">
        <w:rPr>
          <w:sz w:val="28"/>
          <w:szCs w:val="28"/>
          <w:highlight w:val="white"/>
        </w:rPr>
        <w:t>азова організація у будівництві повинна:</w:t>
      </w:r>
    </w:p>
    <w:p w14:paraId="0000002B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1) </w:t>
      </w:r>
      <w:r w:rsidRPr="00530DAB">
        <w:rPr>
          <w:sz w:val="28"/>
          <w:szCs w:val="28"/>
          <w:highlight w:val="white"/>
        </w:rPr>
        <w:t>забезпечувати об’єктивність та неупередженість своєї діяльно</w:t>
      </w:r>
      <w:r w:rsidRPr="00530DAB">
        <w:rPr>
          <w:sz w:val="28"/>
          <w:szCs w:val="28"/>
        </w:rPr>
        <w:t>сті</w:t>
      </w:r>
      <w:r w:rsidRPr="00530DAB">
        <w:rPr>
          <w:sz w:val="28"/>
          <w:szCs w:val="28"/>
        </w:rPr>
        <w:t xml:space="preserve"> і ма</w:t>
      </w:r>
      <w:r w:rsidRPr="00530DAB">
        <w:rPr>
          <w:sz w:val="28"/>
          <w:szCs w:val="28"/>
          <w:highlight w:val="white"/>
        </w:rPr>
        <w:t>ти персонал, який ді</w:t>
      </w:r>
      <w:r w:rsidRPr="00530DAB">
        <w:rPr>
          <w:sz w:val="28"/>
          <w:szCs w:val="28"/>
          <w:highlight w:val="white"/>
        </w:rPr>
        <w:t>є</w:t>
      </w:r>
      <w:r w:rsidRPr="00530DAB">
        <w:rPr>
          <w:sz w:val="28"/>
          <w:szCs w:val="28"/>
          <w:highlight w:val="white"/>
        </w:rPr>
        <w:t xml:space="preserve"> в умовах уникнення реального чи потенційного конфлікту інтересів та ма</w:t>
      </w:r>
      <w:r w:rsidRPr="00530DAB">
        <w:rPr>
          <w:sz w:val="28"/>
          <w:szCs w:val="28"/>
          <w:highlight w:val="white"/>
        </w:rPr>
        <w:t>ти</w:t>
      </w:r>
      <w:r w:rsidRPr="00530DAB">
        <w:rPr>
          <w:sz w:val="28"/>
          <w:szCs w:val="28"/>
          <w:highlight w:val="white"/>
        </w:rPr>
        <w:t xml:space="preserve"> такі компетенції:</w:t>
      </w:r>
    </w:p>
    <w:p w14:paraId="0000002C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загальне розуміння будівельної практики та досконалі технічні знання за відповідним </w:t>
      </w:r>
      <w:r w:rsidRPr="00530DAB">
        <w:rPr>
          <w:sz w:val="28"/>
          <w:szCs w:val="28"/>
        </w:rPr>
        <w:t>напрямом/напрямами науково-технічної діяльності у будівництві</w:t>
      </w:r>
      <w:r w:rsidRPr="00530DAB">
        <w:rPr>
          <w:sz w:val="28"/>
          <w:szCs w:val="28"/>
          <w:highlight w:val="white"/>
        </w:rPr>
        <w:t>;</w:t>
      </w:r>
    </w:p>
    <w:p w14:paraId="0000002D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знання та розумін</w:t>
      </w:r>
      <w:r w:rsidRPr="00530DAB">
        <w:rPr>
          <w:sz w:val="28"/>
          <w:szCs w:val="28"/>
        </w:rPr>
        <w:t>ня теоретичних засад проектування об’єктів (будівель і споруд) та їх конструктивних елементів, розроблення та впровадження новітніх технологій будівництва;</w:t>
      </w:r>
    </w:p>
    <w:p w14:paraId="0000002E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досконале знання містобудівного законодавства та технічних аспектів і особливих ризиків процесу буді</w:t>
      </w:r>
      <w:r w:rsidRPr="00530DAB">
        <w:rPr>
          <w:sz w:val="28"/>
          <w:szCs w:val="28"/>
        </w:rPr>
        <w:t>вництва;</w:t>
      </w:r>
    </w:p>
    <w:p w14:paraId="0000002F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здатність до системного аналізу наукової (науково-технічної) інформації, з формулюванням висновків відповідно до цілей дослідження за відповідним напрямом/напрямами науково-технічної діяльності у будівництві;</w:t>
      </w:r>
    </w:p>
    <w:p w14:paraId="00000030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здатність виявляти проблему, формулюва</w:t>
      </w:r>
      <w:r w:rsidRPr="00530DAB">
        <w:rPr>
          <w:sz w:val="28"/>
          <w:szCs w:val="28"/>
        </w:rPr>
        <w:t xml:space="preserve">ти гіпотези, здійснювати добір й аналіз необхідних даних для дослідження за відповідним напрямом/напрямами науково-технічної діяльності у будівництві, </w:t>
      </w:r>
      <w:r w:rsidRPr="00530DAB">
        <w:rPr>
          <w:sz w:val="28"/>
          <w:szCs w:val="28"/>
        </w:rPr>
        <w:t>о</w:t>
      </w:r>
      <w:r w:rsidRPr="00530DAB">
        <w:rPr>
          <w:sz w:val="28"/>
          <w:szCs w:val="28"/>
        </w:rPr>
        <w:t>бирати відповідні методи проведення дослідження та обробки даних, фіксувати проміжні та остаточні резуль</w:t>
      </w:r>
      <w:r w:rsidRPr="00530DAB">
        <w:rPr>
          <w:sz w:val="28"/>
          <w:szCs w:val="28"/>
        </w:rPr>
        <w:t>тати дослідження, проводити обговорення та інтерпретацію результатів дослідження, використовувати їх на практиці;</w:t>
      </w:r>
    </w:p>
    <w:p w14:paraId="00000031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здатність трансформувати результати досліджень в технічні критерії та вимоги, які встановлюються в нормативних актах технічного характеру; </w:t>
      </w:r>
    </w:p>
    <w:p w14:paraId="00000032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зд</w:t>
      </w:r>
      <w:r w:rsidRPr="00530DAB">
        <w:rPr>
          <w:sz w:val="28"/>
          <w:szCs w:val="28"/>
        </w:rPr>
        <w:t>атність здійснювати діяльність на основі міжособистісних взаємовідносин на основі терпимості, психологічної сумісності та етики поведінки;</w:t>
      </w:r>
    </w:p>
    <w:p w14:paraId="00000033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здатність застосовувати сучасні методи наукових досліджень, організації та планування експерименту, комп’ютеризованих</w:t>
      </w:r>
      <w:r w:rsidRPr="00530DAB">
        <w:rPr>
          <w:sz w:val="28"/>
          <w:szCs w:val="28"/>
        </w:rPr>
        <w:t xml:space="preserve"> методів дослідження та інтерпретування їх результатів з урахуванням результатів аналізу міжнародного та вітчизняного досвіду та накопиченої інформації, необхідної для розв’язання задач дослідницького та інноваційного характеру за відповідним напрямом / на</w:t>
      </w:r>
      <w:r w:rsidRPr="00530DAB">
        <w:rPr>
          <w:sz w:val="28"/>
          <w:szCs w:val="28"/>
        </w:rPr>
        <w:t>прямами науково-технічної діяльності у будівництві;</w:t>
      </w:r>
    </w:p>
    <w:p w14:paraId="00000034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здатність формулювати власні авторські висновки, пропозиції та рекомендації на основі аналізу літературних джерел, патентних досліджень, повного циклу теоретичних і експериментальних досліджень, проведени</w:t>
      </w:r>
      <w:r w:rsidRPr="00530DAB">
        <w:rPr>
          <w:sz w:val="28"/>
          <w:szCs w:val="28"/>
        </w:rPr>
        <w:t>х за сучасними методиками;</w:t>
      </w:r>
    </w:p>
    <w:p w14:paraId="00000035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2) </w:t>
      </w:r>
      <w:r w:rsidRPr="00530DAB">
        <w:rPr>
          <w:sz w:val="28"/>
          <w:szCs w:val="28"/>
        </w:rPr>
        <w:t>мати</w:t>
      </w:r>
      <w:r w:rsidRPr="00530DAB">
        <w:rPr>
          <w:sz w:val="28"/>
          <w:szCs w:val="28"/>
        </w:rPr>
        <w:t>:</w:t>
      </w:r>
    </w:p>
    <w:p w14:paraId="00000036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доступ до засобів та обладнання, необхідних для проведення експериментальних досліджень (для напряму/напрямів науково-технічної </w:t>
      </w:r>
      <w:r w:rsidRPr="00530DAB">
        <w:rPr>
          <w:sz w:val="28"/>
          <w:szCs w:val="28"/>
        </w:rPr>
        <w:lastRenderedPageBreak/>
        <w:t>діяльності, дослідне, нормативно-методичне та інформаційного забезпечення його потребує пров</w:t>
      </w:r>
      <w:r w:rsidRPr="00530DAB">
        <w:rPr>
          <w:sz w:val="28"/>
          <w:szCs w:val="28"/>
        </w:rPr>
        <w:t>едення експериментальних досліджень)</w:t>
      </w:r>
      <w:r w:rsidRPr="00530DAB">
        <w:rPr>
          <w:sz w:val="28"/>
          <w:szCs w:val="28"/>
        </w:rPr>
        <w:t>;</w:t>
      </w:r>
    </w:p>
    <w:p w14:paraId="00000037" w14:textId="77777777" w:rsidR="002F6677" w:rsidRPr="00530DAB" w:rsidRDefault="000B3E70" w:rsidP="00643CCE">
      <w:pP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>власний вебсайт для розміщення інформації щодо діяльності базової організації, в тому числі оприлюднення проєктів будівельних норм;</w:t>
      </w:r>
    </w:p>
    <w:p w14:paraId="00000038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систему контролю за документообігом для забезпечення реєстрації, відстеження, ведення </w:t>
      </w:r>
      <w:r w:rsidRPr="00530DAB">
        <w:rPr>
          <w:sz w:val="28"/>
          <w:szCs w:val="28"/>
        </w:rPr>
        <w:t>та архівації всіх відповідних документів;</w:t>
      </w:r>
    </w:p>
    <w:p w14:paraId="00000039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  <w:highlight w:val="white"/>
        </w:rPr>
        <w:t>систему управління якістю на підприємстві, що охоплює всі аспекти діяльності пов'язані з виконанням основних завдань базової організації у будівництві</w:t>
      </w:r>
      <w:r w:rsidRPr="00530DAB">
        <w:rPr>
          <w:sz w:val="28"/>
          <w:szCs w:val="28"/>
        </w:rPr>
        <w:t>;</w:t>
      </w:r>
    </w:p>
    <w:p w14:paraId="0000003A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процедури, що визначають порядок об’єктивного розгляду звернень і скарг</w:t>
      </w:r>
      <w:r w:rsidRPr="00530DAB">
        <w:rPr>
          <w:sz w:val="28"/>
          <w:szCs w:val="28"/>
        </w:rPr>
        <w:t>;</w:t>
      </w:r>
    </w:p>
    <w:p w14:paraId="0000003B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процедури внутрішнього аудиту та аналізу з боку керівництва.</w:t>
      </w:r>
    </w:p>
    <w:p w14:paraId="0000003C" w14:textId="77777777" w:rsidR="002F6677" w:rsidRPr="00530DAB" w:rsidRDefault="000B3E70" w:rsidP="00643CCE">
      <w:pP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  <w:highlight w:val="white"/>
        </w:rPr>
        <w:t>9. Наявність фахової (професійної) компетентності підприємства, установи чи організації, що претендує на включення до пере</w:t>
      </w:r>
      <w:r w:rsidRPr="00530DAB">
        <w:rPr>
          <w:sz w:val="28"/>
          <w:szCs w:val="28"/>
          <w:highlight w:val="white"/>
        </w:rPr>
        <w:t>ліку базових організацій у будівництві за відповідним напрямом/напрямами науково-технічної діяльності у будівництві (далі – організація-претендент), що доводить спроможність такої організації виконувати основні завдання базової організації, визначені цим П</w:t>
      </w:r>
      <w:r w:rsidRPr="00530DAB">
        <w:rPr>
          <w:sz w:val="28"/>
          <w:szCs w:val="28"/>
          <w:highlight w:val="white"/>
        </w:rPr>
        <w:t xml:space="preserve">оложенням, </w:t>
      </w:r>
      <w:r w:rsidRPr="00530DAB">
        <w:rPr>
          <w:sz w:val="28"/>
          <w:szCs w:val="28"/>
        </w:rPr>
        <w:t>підтверджується наявністю персоналу, що має необхідні знання та досвід, у кількості не менше 5 осіб, яких планується залучати до виконання основних завдань базової організації, з яких:</w:t>
      </w:r>
    </w:p>
    <w:p w14:paraId="0000003D" w14:textId="187E8239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1) </w:t>
      </w:r>
      <w:r w:rsidR="000B3E70" w:rsidRPr="00530DAB">
        <w:rPr>
          <w:sz w:val="28"/>
          <w:szCs w:val="28"/>
        </w:rPr>
        <w:t xml:space="preserve">не менше, ніж 3 особи, які працюють </w:t>
      </w:r>
      <w:r w:rsidR="000B3E70" w:rsidRPr="00530DAB">
        <w:rPr>
          <w:sz w:val="28"/>
          <w:szCs w:val="28"/>
          <w:highlight w:val="white"/>
        </w:rPr>
        <w:t>за основним місцем робот</w:t>
      </w:r>
      <w:r w:rsidR="000B3E70" w:rsidRPr="00530DAB">
        <w:rPr>
          <w:sz w:val="28"/>
          <w:szCs w:val="28"/>
          <w:highlight w:val="white"/>
        </w:rPr>
        <w:t xml:space="preserve">и не менш як на 0,75 ставки, та мають </w:t>
      </w:r>
      <w:r w:rsidR="000B3E70" w:rsidRPr="00530DAB">
        <w:rPr>
          <w:sz w:val="28"/>
          <w:szCs w:val="28"/>
        </w:rPr>
        <w:t>вищу освіту на рівні, не нижче магістра за спеціальностями у галузі знань «Архітектура та будівництво»;</w:t>
      </w:r>
    </w:p>
    <w:p w14:paraId="0000003E" w14:textId="1E0F2BE7" w:rsidR="002F6677" w:rsidRPr="00530DAB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2) </w:t>
      </w:r>
      <w:r w:rsidR="000B3E70" w:rsidRPr="00530DAB">
        <w:rPr>
          <w:sz w:val="28"/>
          <w:szCs w:val="28"/>
        </w:rPr>
        <w:t>не менше 50 % осіб, які мають науковий ступінь доктора наук / кандидата наук / доктора філософії за відповідною га</w:t>
      </w:r>
      <w:r w:rsidR="000B3E70" w:rsidRPr="00530DAB">
        <w:rPr>
          <w:sz w:val="28"/>
          <w:szCs w:val="28"/>
        </w:rPr>
        <w:t>луззю знань та/або спеціальністю;</w:t>
      </w:r>
    </w:p>
    <w:p w14:paraId="0000003F" w14:textId="60970750" w:rsidR="002F6677" w:rsidRPr="00530DAB" w:rsidRDefault="006D5A0F" w:rsidP="00643CCE">
      <w:pP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3) </w:t>
      </w:r>
      <w:r w:rsidR="000B3E70" w:rsidRPr="00530DAB">
        <w:rPr>
          <w:sz w:val="28"/>
          <w:szCs w:val="28"/>
          <w:highlight w:val="white"/>
        </w:rPr>
        <w:t>не менше 50 % осіб, які мають досвід виконання робіт з нормування у будівництві та/або стандартизації за відповідним напрямом науково-технічної діяльності у будівництві;</w:t>
      </w:r>
    </w:p>
    <w:p w14:paraId="62904D48" w14:textId="0A0BAD28" w:rsidR="00984209" w:rsidRDefault="006D5A0F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4) </w:t>
      </w:r>
      <w:r w:rsidR="000B3E70" w:rsidRPr="00530DAB">
        <w:rPr>
          <w:sz w:val="28"/>
          <w:szCs w:val="28"/>
        </w:rPr>
        <w:t>не менше 30 % осіб, які мають досвід виконання робіт</w:t>
      </w:r>
      <w:r w:rsidR="000B3E70" w:rsidRPr="00530DAB">
        <w:rPr>
          <w:sz w:val="28"/>
          <w:szCs w:val="28"/>
        </w:rPr>
        <w:t>, пов’язаних із створенням об’єктів будівництва (об'єктів архітектурної діяльності).</w:t>
      </w:r>
    </w:p>
    <w:p w14:paraId="7FB8307B" w14:textId="77777777" w:rsidR="00530DAB" w:rsidRPr="00530DAB" w:rsidRDefault="00530DAB" w:rsidP="00643CCE">
      <w:pPr>
        <w:ind w:firstLine="709"/>
        <w:jc w:val="both"/>
        <w:rPr>
          <w:sz w:val="28"/>
          <w:szCs w:val="28"/>
        </w:rPr>
      </w:pPr>
    </w:p>
    <w:p w14:paraId="00000042" w14:textId="77777777" w:rsidR="002F6677" w:rsidRPr="00530DAB" w:rsidRDefault="000B3E70" w:rsidP="00643CCE">
      <w:pPr>
        <w:spacing w:after="60"/>
        <w:jc w:val="center"/>
        <w:rPr>
          <w:sz w:val="28"/>
          <w:szCs w:val="28"/>
        </w:rPr>
      </w:pPr>
      <w:r w:rsidRPr="00530DAB">
        <w:rPr>
          <w:b/>
          <w:sz w:val="28"/>
          <w:szCs w:val="28"/>
        </w:rPr>
        <w:t>Оцінювання компетентностей організації-претендента, формування переліку та атестація базових організацій</w:t>
      </w:r>
    </w:p>
    <w:p w14:paraId="00000043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10. Організація-претендент</w:t>
      </w:r>
      <w:r w:rsidRPr="00530DAB">
        <w:rPr>
          <w:sz w:val="28"/>
          <w:szCs w:val="28"/>
        </w:rPr>
        <w:t xml:space="preserve"> в межах відповідного напряму / напрямів науково-технічної діяльності у будівництві повинна мати компетентності, визначені у пункті 6 цього Положення, наявність яких визначає її спроможність виконувати завдання базової організації.</w:t>
      </w:r>
    </w:p>
    <w:p w14:paraId="00000044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11. Включення організаці</w:t>
      </w:r>
      <w:r w:rsidRPr="00530DAB">
        <w:rPr>
          <w:sz w:val="28"/>
          <w:szCs w:val="28"/>
        </w:rPr>
        <w:t>ї-претендента до переліку базових організацій, зміна або доповнення напряму / напрямів (для організацій, включених до переліку базових організацій) здійснюється Мінрозвитку в рамках адміністративного провадження за результатами розгляду письмової заяви орг</w:t>
      </w:r>
      <w:r w:rsidRPr="00530DAB">
        <w:rPr>
          <w:sz w:val="28"/>
          <w:szCs w:val="28"/>
        </w:rPr>
        <w:t xml:space="preserve">анізації-претендента, поданої у електронній чи паперовій формі (далі </w:t>
      </w:r>
      <w:r w:rsidRPr="00530DAB">
        <w:rPr>
          <w:sz w:val="28"/>
          <w:szCs w:val="28"/>
          <w:highlight w:val="white"/>
        </w:rPr>
        <w:t>–</w:t>
      </w:r>
      <w:r w:rsidRPr="00530DAB">
        <w:rPr>
          <w:sz w:val="28"/>
          <w:szCs w:val="28"/>
        </w:rPr>
        <w:t xml:space="preserve"> Заява), до якої додаються документи, що підтверджують відповідність </w:t>
      </w:r>
      <w:r w:rsidRPr="00530DAB">
        <w:rPr>
          <w:sz w:val="28"/>
          <w:szCs w:val="28"/>
        </w:rPr>
        <w:lastRenderedPageBreak/>
        <w:t>вимогам щодо компетентностей, визначених пунктом 6 цього Положення, та спроможність виконання основних завдань базово</w:t>
      </w:r>
      <w:r w:rsidRPr="00530DAB">
        <w:rPr>
          <w:sz w:val="28"/>
          <w:szCs w:val="28"/>
        </w:rPr>
        <w:t>ї організації, і містять:</w:t>
      </w:r>
    </w:p>
    <w:p w14:paraId="00000045" w14:textId="2F26BBD6" w:rsidR="002F6677" w:rsidRPr="00530DAB" w:rsidRDefault="00530DAB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1) </w:t>
      </w:r>
      <w:r w:rsidR="000B3E70" w:rsidRPr="00530DAB">
        <w:rPr>
          <w:sz w:val="28"/>
          <w:szCs w:val="28"/>
        </w:rPr>
        <w:t>копію Статуту юридичної особи, у складі якої знаходиться організація-претендент;</w:t>
      </w:r>
    </w:p>
    <w:p w14:paraId="00000046" w14:textId="3BD0588E" w:rsidR="002F6677" w:rsidRPr="00530DAB" w:rsidRDefault="00530DAB" w:rsidP="00643CCE">
      <w:pP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2) </w:t>
      </w:r>
      <w:r w:rsidR="000B3E70" w:rsidRPr="00530DAB">
        <w:rPr>
          <w:sz w:val="28"/>
          <w:szCs w:val="28"/>
          <w:highlight w:val="white"/>
        </w:rPr>
        <w:t>довідку про організаційну структуру організації-претендента у довільній формі;</w:t>
      </w:r>
    </w:p>
    <w:p w14:paraId="00000047" w14:textId="611B19F8" w:rsidR="002F6677" w:rsidRPr="00530DAB" w:rsidRDefault="00530DAB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3) </w:t>
      </w:r>
      <w:r w:rsidR="000B3E70" w:rsidRPr="00530DAB">
        <w:rPr>
          <w:sz w:val="28"/>
          <w:szCs w:val="28"/>
        </w:rPr>
        <w:t>інформацію щодо забезпечення персоналом (кількісний склад, рівень кваліфікації), зокрема відомості про осіб, яких планується залучати до виконання основних завдань базової організації, (з наданням копій документів про їх призначення/залучення та професійни</w:t>
      </w:r>
      <w:r w:rsidR="000B3E70" w:rsidRPr="00530DAB">
        <w:rPr>
          <w:sz w:val="28"/>
          <w:szCs w:val="28"/>
        </w:rPr>
        <w:t>й рівень, в тому числі: документів про освіту та науковий ступінь, документів про професійну атестацію  (кваліфікаційних сертифікатів))</w:t>
      </w:r>
    </w:p>
    <w:p w14:paraId="00000048" w14:textId="22D8631F" w:rsidR="002F6677" w:rsidRPr="00530DAB" w:rsidRDefault="00530DAB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4) </w:t>
      </w:r>
      <w:r w:rsidR="000B3E70" w:rsidRPr="00530DAB">
        <w:rPr>
          <w:sz w:val="28"/>
          <w:szCs w:val="28"/>
        </w:rPr>
        <w:t>відомості про власні та/або залучені акредитовані випробувальні лабораторії, що містять назву, місцезнаходження, номер а</w:t>
      </w:r>
      <w:r w:rsidR="000B3E70" w:rsidRPr="00530DAB">
        <w:rPr>
          <w:sz w:val="28"/>
          <w:szCs w:val="28"/>
        </w:rPr>
        <w:t>тестата про акредитацію, строк дії атестата про акредитацію, сферу акредитації, види випробувань та статус випробувальної лабораторії (з наданням копій підтвердних документів), якщо виконання робіт із нормування у будівництві потребує здійснення лабораторн</w:t>
      </w:r>
      <w:r w:rsidR="000B3E70" w:rsidRPr="00530DAB">
        <w:rPr>
          <w:sz w:val="28"/>
          <w:szCs w:val="28"/>
        </w:rPr>
        <w:t>их досліджень;</w:t>
      </w:r>
    </w:p>
    <w:p w14:paraId="00000049" w14:textId="5B169948" w:rsidR="002F6677" w:rsidRPr="00530DAB" w:rsidRDefault="00530DAB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  <w:highlight w:val="white"/>
        </w:rPr>
        <w:t xml:space="preserve">5) </w:t>
      </w:r>
      <w:r w:rsidR="000B3E70" w:rsidRPr="00530DAB">
        <w:rPr>
          <w:sz w:val="28"/>
          <w:szCs w:val="28"/>
          <w:highlight w:val="white"/>
        </w:rPr>
        <w:t>інформацію щодо публікаційної активності персоналу за останні п'ять років до дати подання Заяви</w:t>
      </w:r>
      <w:r w:rsidR="000B3E70" w:rsidRPr="00530DAB">
        <w:rPr>
          <w:sz w:val="28"/>
          <w:szCs w:val="28"/>
        </w:rPr>
        <w:t xml:space="preserve">) із зазначенням </w:t>
      </w:r>
      <w:r w:rsidR="000B3E70" w:rsidRPr="00530DAB">
        <w:rPr>
          <w:sz w:val="28"/>
          <w:szCs w:val="28"/>
          <w:highlight w:val="white"/>
        </w:rPr>
        <w:t>не менше 5 опублікованих статей у міжнародних наукометричних базах даних Scopus або Web of Science та/або у фахових виданнях Укра</w:t>
      </w:r>
      <w:r w:rsidR="000B3E70" w:rsidRPr="00530DAB">
        <w:rPr>
          <w:sz w:val="28"/>
          <w:szCs w:val="28"/>
          <w:highlight w:val="white"/>
        </w:rPr>
        <w:t>їни категорії А та Б за відповідним напрямом або напрямами науково-технічної діяльності у будівництві;</w:t>
      </w:r>
    </w:p>
    <w:p w14:paraId="0000004A" w14:textId="518E7BB6" w:rsidR="002F6677" w:rsidRPr="00530DAB" w:rsidRDefault="00530DAB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6) </w:t>
      </w:r>
      <w:r w:rsidR="000B3E70" w:rsidRPr="00530DAB">
        <w:rPr>
          <w:sz w:val="28"/>
          <w:szCs w:val="28"/>
        </w:rPr>
        <w:t xml:space="preserve">інформацію щодо досвіду виконання персоналом робіт із нормування у будівництві та/або стандартизації </w:t>
      </w:r>
      <w:r w:rsidR="000B3E70" w:rsidRPr="00530DAB">
        <w:rPr>
          <w:sz w:val="28"/>
          <w:szCs w:val="28"/>
          <w:highlight w:val="white"/>
        </w:rPr>
        <w:t>за відповідним напрямом або напрямами науково-техніч</w:t>
      </w:r>
      <w:r w:rsidR="000B3E70" w:rsidRPr="00530DAB">
        <w:rPr>
          <w:sz w:val="28"/>
          <w:szCs w:val="28"/>
          <w:highlight w:val="white"/>
        </w:rPr>
        <w:t>ної діяльності у будівництві;</w:t>
      </w:r>
    </w:p>
    <w:p w14:paraId="0000004B" w14:textId="2253D858" w:rsidR="002F6677" w:rsidRPr="00530DAB" w:rsidRDefault="00530DAB" w:rsidP="00643CCE">
      <w:pP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7) </w:t>
      </w:r>
      <w:r w:rsidR="000B3E70" w:rsidRPr="00530DAB">
        <w:rPr>
          <w:sz w:val="28"/>
          <w:szCs w:val="28"/>
          <w:highlight w:val="white"/>
        </w:rPr>
        <w:t xml:space="preserve">інформацію щодо </w:t>
      </w:r>
      <w:r w:rsidR="000B3E70" w:rsidRPr="00530DAB">
        <w:rPr>
          <w:sz w:val="28"/>
          <w:szCs w:val="28"/>
        </w:rPr>
        <w:t xml:space="preserve">результатів створення та використання об’єктів права інтелектуальної власності </w:t>
      </w:r>
      <w:r w:rsidR="000B3E70" w:rsidRPr="00530DAB">
        <w:rPr>
          <w:sz w:val="28"/>
          <w:szCs w:val="28"/>
          <w:highlight w:val="white"/>
        </w:rPr>
        <w:t>за відповідним напрямом або напрямами науково-технічної діяльності у будівництві</w:t>
      </w:r>
      <w:r w:rsidR="000B3E70" w:rsidRPr="00530DAB">
        <w:rPr>
          <w:sz w:val="28"/>
          <w:szCs w:val="28"/>
        </w:rPr>
        <w:t xml:space="preserve"> (за наявності);</w:t>
      </w:r>
    </w:p>
    <w:p w14:paraId="0000004C" w14:textId="1427A5A9" w:rsidR="002F6677" w:rsidRPr="00530DAB" w:rsidRDefault="00530DAB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8) </w:t>
      </w:r>
      <w:r w:rsidR="000B3E70" w:rsidRPr="00530DAB">
        <w:rPr>
          <w:sz w:val="28"/>
          <w:szCs w:val="28"/>
        </w:rPr>
        <w:t>копії документів, що підтверджують</w:t>
      </w:r>
      <w:r w:rsidR="000B3E70" w:rsidRPr="00530DAB">
        <w:rPr>
          <w:sz w:val="28"/>
          <w:szCs w:val="28"/>
        </w:rPr>
        <w:t xml:space="preserve"> практичний досвід виконання організацією-претендентом або його працівниками робіт, пов’язаних із створенням об’єктів будівництва (об'єктів архітектурної діяльнос</w:t>
      </w:r>
      <w:r w:rsidR="000B3E70" w:rsidRPr="00530DAB">
        <w:rPr>
          <w:sz w:val="28"/>
          <w:szCs w:val="28"/>
          <w:highlight w:val="white"/>
        </w:rPr>
        <w:t>ті) за відповідним напрямом або напрямами науково-технічної діяльності у будівництві, щонаймен</w:t>
      </w:r>
      <w:r w:rsidR="000B3E70" w:rsidRPr="00530DAB">
        <w:rPr>
          <w:sz w:val="28"/>
          <w:szCs w:val="28"/>
          <w:highlight w:val="white"/>
        </w:rPr>
        <w:t>ше одного з таких видів робіт (у кількості не менше ніж 5 договорів за останні три роки):</w:t>
      </w:r>
    </w:p>
    <w:p w14:paraId="0000004D" w14:textId="77777777" w:rsidR="002F6677" w:rsidRPr="00530DAB" w:rsidRDefault="000B3E70" w:rsidP="00643CCE">
      <w:pP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>р</w:t>
      </w:r>
      <w:r w:rsidRPr="00530DAB">
        <w:rPr>
          <w:sz w:val="28"/>
          <w:szCs w:val="28"/>
          <w:highlight w:val="white"/>
        </w:rPr>
        <w:t>озроблення проектної та/або містобудівної документації;</w:t>
      </w:r>
    </w:p>
    <w:p w14:paraId="0000004E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>проведення експертизи проектної та/або містобудівної документації;</w:t>
      </w:r>
    </w:p>
    <w:p w14:paraId="0000004F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>проведення обстеження прийнятих в експлуат</w:t>
      </w:r>
      <w:r w:rsidRPr="00530DAB">
        <w:rPr>
          <w:sz w:val="28"/>
          <w:szCs w:val="28"/>
          <w:highlight w:val="white"/>
        </w:rPr>
        <w:t>ацію об’єктів будівництва;</w:t>
      </w:r>
    </w:p>
    <w:p w14:paraId="00000050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>здійснення авторського та/або технічного нагляду.</w:t>
      </w:r>
    </w:p>
    <w:p w14:paraId="00000051" w14:textId="79FCAB87" w:rsidR="002F6677" w:rsidRPr="00530DAB" w:rsidRDefault="00530DAB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9) </w:t>
      </w:r>
      <w:r w:rsidR="000B3E70" w:rsidRPr="00530DAB">
        <w:rPr>
          <w:sz w:val="28"/>
          <w:szCs w:val="28"/>
          <w:highlight w:val="white"/>
        </w:rPr>
        <w:t>відомості про систему управління документацією та якістю:</w:t>
      </w:r>
    </w:p>
    <w:p w14:paraId="00000052" w14:textId="77777777" w:rsidR="002F6677" w:rsidRPr="00530DAB" w:rsidRDefault="000B3E70" w:rsidP="00643CCE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>к</w:t>
      </w:r>
      <w:r w:rsidRPr="00530DAB">
        <w:rPr>
          <w:sz w:val="28"/>
          <w:szCs w:val="28"/>
          <w:highlight w:val="white"/>
        </w:rPr>
        <w:t>опія настанови з якості або сертифікат відповідності власної системи управління якістю вимогам стандарту ДСТУ ISO 9001;</w:t>
      </w:r>
    </w:p>
    <w:p w14:paraId="00000053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копія </w:t>
      </w:r>
      <w:r w:rsidRPr="00530DAB">
        <w:rPr>
          <w:sz w:val="28"/>
          <w:szCs w:val="28"/>
          <w:highlight w:val="white"/>
        </w:rPr>
        <w:t>документа, що визначає порядок розгляду звернень та скарг;</w:t>
      </w:r>
    </w:p>
    <w:p w14:paraId="00000054" w14:textId="77777777" w:rsidR="002F6677" w:rsidRPr="00530DAB" w:rsidRDefault="000B3E70" w:rsidP="00643CCE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</w:rPr>
        <w:lastRenderedPageBreak/>
        <w:t>копія документа, що визначає порядок проведення внутрішнього аудиту та аналізу юридичної особи, у складі якої знаходиться організація-претендент з боку керівництва;</w:t>
      </w:r>
    </w:p>
    <w:p w14:paraId="00000055" w14:textId="18299078" w:rsidR="002F6677" w:rsidRPr="00530DAB" w:rsidRDefault="00530DAB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10) </w:t>
      </w:r>
      <w:r w:rsidR="000B3E70" w:rsidRPr="00530DAB">
        <w:rPr>
          <w:sz w:val="28"/>
          <w:szCs w:val="28"/>
          <w:highlight w:val="white"/>
        </w:rPr>
        <w:t>відомості про скарги на діяльність організації-претендента, подані протягом останніх трьох років (у разі наявності) або дові</w:t>
      </w:r>
      <w:r w:rsidR="000B3E70" w:rsidRPr="00530DAB">
        <w:rPr>
          <w:sz w:val="28"/>
          <w:szCs w:val="28"/>
          <w:highlight w:val="white"/>
        </w:rPr>
        <w:t>дка про відсутність таких скарг</w:t>
      </w:r>
      <w:r w:rsidR="000B3E70" w:rsidRPr="00530DAB">
        <w:rPr>
          <w:sz w:val="28"/>
          <w:szCs w:val="28"/>
          <w:highlight w:val="white"/>
        </w:rPr>
        <w:t>;</w:t>
      </w:r>
    </w:p>
    <w:p w14:paraId="00000056" w14:textId="48F75123" w:rsidR="002F6677" w:rsidRPr="00530DAB" w:rsidRDefault="00530DAB" w:rsidP="00643CCE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 xml:space="preserve">11) </w:t>
      </w:r>
      <w:r w:rsidR="000B3E70" w:rsidRPr="00530DAB">
        <w:rPr>
          <w:sz w:val="28"/>
          <w:szCs w:val="28"/>
          <w:highlight w:val="white"/>
        </w:rPr>
        <w:t>інформацію щодо власного вебсайту;</w:t>
      </w:r>
    </w:p>
    <w:p w14:paraId="00000057" w14:textId="44B4BFC6" w:rsidR="002F6677" w:rsidRPr="00530DAB" w:rsidRDefault="00530DAB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12) </w:t>
      </w:r>
      <w:r w:rsidR="000B3E70" w:rsidRPr="00530DAB">
        <w:rPr>
          <w:sz w:val="28"/>
          <w:szCs w:val="28"/>
        </w:rPr>
        <w:t>деклараці</w:t>
      </w:r>
      <w:r w:rsidR="000B3E70" w:rsidRPr="00530DAB">
        <w:rPr>
          <w:sz w:val="28"/>
          <w:szCs w:val="28"/>
        </w:rPr>
        <w:t>ю</w:t>
      </w:r>
      <w:r w:rsidR="000B3E70" w:rsidRPr="00530DAB">
        <w:rPr>
          <w:sz w:val="28"/>
          <w:szCs w:val="28"/>
        </w:rPr>
        <w:t xml:space="preserve"> про те, що організація-претендент не є юридичною особ</w:t>
      </w:r>
      <w:r w:rsidR="000B3E70" w:rsidRPr="00530DAB">
        <w:rPr>
          <w:sz w:val="28"/>
          <w:szCs w:val="28"/>
        </w:rPr>
        <w:t>ою, в якій є частка держави, визнаної Верховною Радою України державою-агресором або державою-окупантом, або кінцевими бенефіціарними власниками якої є резиденти таких держав, або щодо якої застосовані спеціальні економічні та інші обмежувальні заходи (сан</w:t>
      </w:r>
      <w:r w:rsidR="000B3E70" w:rsidRPr="00530DAB">
        <w:rPr>
          <w:sz w:val="28"/>
          <w:szCs w:val="28"/>
        </w:rPr>
        <w:t>кції) відповідно до </w:t>
      </w:r>
      <w:r w:rsidR="000B3E70" w:rsidRPr="00530DAB">
        <w:rPr>
          <w:sz w:val="28"/>
          <w:szCs w:val="28"/>
        </w:rPr>
        <w:t>Закону України</w:t>
      </w:r>
      <w:r w:rsidR="000B3E70" w:rsidRPr="00530DAB">
        <w:rPr>
          <w:sz w:val="28"/>
          <w:szCs w:val="28"/>
        </w:rPr>
        <w:t> </w:t>
      </w:r>
      <w:r w:rsidR="000B3E70" w:rsidRPr="00530DAB">
        <w:rPr>
          <w:sz w:val="28"/>
          <w:szCs w:val="28"/>
        </w:rPr>
        <w:t>«</w:t>
      </w:r>
      <w:r w:rsidR="000B3E70" w:rsidRPr="00530DAB">
        <w:rPr>
          <w:sz w:val="28"/>
          <w:szCs w:val="28"/>
        </w:rPr>
        <w:t>Про санкції</w:t>
      </w:r>
      <w:r w:rsidR="000B3E70" w:rsidRPr="00530DAB">
        <w:rPr>
          <w:sz w:val="28"/>
          <w:szCs w:val="28"/>
        </w:rPr>
        <w:t>»</w:t>
      </w:r>
      <w:r w:rsidR="000B3E70" w:rsidRPr="00530DAB">
        <w:rPr>
          <w:sz w:val="28"/>
          <w:szCs w:val="28"/>
        </w:rPr>
        <w:t>, та не є пов’язаною з ними особою, підписана претендентом на призначення, у довільній формі.</w:t>
      </w:r>
    </w:p>
    <w:p w14:paraId="00000058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1</w:t>
      </w:r>
      <w:r w:rsidRPr="00530DAB">
        <w:rPr>
          <w:sz w:val="28"/>
          <w:szCs w:val="28"/>
        </w:rPr>
        <w:t>2. Встановлені Мінрозвитку форми заяви та документів, зазначених у пункті 11 цього Положення, оприлюднюється на о</w:t>
      </w:r>
      <w:r w:rsidRPr="00530DAB">
        <w:rPr>
          <w:sz w:val="28"/>
          <w:szCs w:val="28"/>
        </w:rPr>
        <w:t>фіційному вебсайті Мінрозвитку.</w:t>
      </w:r>
    </w:p>
    <w:p w14:paraId="00000059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13. Розгляд заяви та документів на відповідність вимогам щодо компетентності, встановлених пунктами 7 </w:t>
      </w:r>
      <w:r w:rsidRPr="00530DAB">
        <w:rPr>
          <w:sz w:val="28"/>
          <w:szCs w:val="28"/>
          <w:highlight w:val="white"/>
        </w:rPr>
        <w:t>–</w:t>
      </w:r>
      <w:r w:rsidRPr="00530DAB">
        <w:rPr>
          <w:sz w:val="28"/>
          <w:szCs w:val="28"/>
        </w:rPr>
        <w:t xml:space="preserve"> 9 цього Положення, та проведення оцінювання спроможності організації-претендента виконувати основні завдання базових організацій за відповідним напрямом / напрямами науково-технічної діяльності здійснюється Експертною комісією Мінрозвитку у строк, що не п</w:t>
      </w:r>
      <w:r w:rsidRPr="00530DAB">
        <w:rPr>
          <w:sz w:val="28"/>
          <w:szCs w:val="28"/>
        </w:rPr>
        <w:t>еревищує сорока п’яти днів з дня реєстрації заяви.</w:t>
      </w:r>
    </w:p>
    <w:p w14:paraId="0000005A" w14:textId="77C54E6F" w:rsidR="002F6677" w:rsidRPr="00530DAB" w:rsidRDefault="00530DAB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14. </w:t>
      </w:r>
      <w:r w:rsidR="000B3E70" w:rsidRPr="00530DAB">
        <w:rPr>
          <w:sz w:val="28"/>
          <w:szCs w:val="28"/>
        </w:rPr>
        <w:t>Доведення організацією-претендентом відповідності вимогам щодо компетентностей та спроможності виконувати завдання базової організації за результатами проведеного оцінювання є підставою для включення т</w:t>
      </w:r>
      <w:r w:rsidR="000B3E70" w:rsidRPr="00530DAB">
        <w:rPr>
          <w:sz w:val="28"/>
          <w:szCs w:val="28"/>
        </w:rPr>
        <w:t>акої організації до переліку базових організацій за відповідним напрямом або напрямами, доповнення або зміни напряму / напрямів.</w:t>
      </w:r>
    </w:p>
    <w:p w14:paraId="0000005B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Підставою для відмови щодо включення організації-претендента до переліку базових організацій, зміни або доповнення напряму або </w:t>
      </w:r>
      <w:r w:rsidRPr="00530DAB">
        <w:rPr>
          <w:sz w:val="28"/>
          <w:szCs w:val="28"/>
        </w:rPr>
        <w:t>напрямів (для організацій, включених до переліку базових організацій), є:</w:t>
      </w:r>
    </w:p>
    <w:p w14:paraId="0000005C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невідповідність вимогам щодо компетентностей, встановленим у пунктах 7 </w:t>
      </w:r>
      <w:r w:rsidRPr="00530DAB">
        <w:rPr>
          <w:sz w:val="28"/>
          <w:szCs w:val="28"/>
          <w:highlight w:val="white"/>
        </w:rPr>
        <w:t>–</w:t>
      </w:r>
      <w:r w:rsidRPr="00530DAB">
        <w:rPr>
          <w:sz w:val="28"/>
          <w:szCs w:val="28"/>
        </w:rPr>
        <w:t xml:space="preserve"> 9 цього Положення;</w:t>
      </w:r>
    </w:p>
    <w:p w14:paraId="0000005D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виявлення в документах, поданих організацією-претендентом, недостовірних відомостей (крім </w:t>
      </w:r>
      <w:r w:rsidRPr="00530DAB">
        <w:rPr>
          <w:sz w:val="28"/>
          <w:szCs w:val="28"/>
        </w:rPr>
        <w:t>технічних помилок).</w:t>
      </w:r>
    </w:p>
    <w:p w14:paraId="0000005E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15. Перелік базових організацій, разом з інформацією щодо юридичної особи та рішенням щодо включення до переліку базових організацій у будівництві, розміщується на порталі Єдиної державної електронної системи у сфері будівництва та офіційному вебсайті Міні</w:t>
      </w:r>
      <w:r w:rsidRPr="00530DAB">
        <w:rPr>
          <w:sz w:val="28"/>
          <w:szCs w:val="28"/>
        </w:rPr>
        <w:t>стерства.</w:t>
      </w:r>
    </w:p>
    <w:p w14:paraId="0000005F" w14:textId="7DEE42D3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  <w:highlight w:val="white"/>
        </w:rPr>
        <w:t>1</w:t>
      </w:r>
      <w:r w:rsidRPr="00530DAB">
        <w:rPr>
          <w:sz w:val="28"/>
          <w:szCs w:val="28"/>
          <w:highlight w:val="white"/>
        </w:rPr>
        <w:t>6</w:t>
      </w:r>
      <w:r w:rsidR="00530DAB" w:rsidRPr="00530DAB">
        <w:rPr>
          <w:sz w:val="28"/>
          <w:szCs w:val="28"/>
          <w:highlight w:val="white"/>
        </w:rPr>
        <w:t xml:space="preserve">. </w:t>
      </w:r>
      <w:r w:rsidRPr="00530DAB">
        <w:rPr>
          <w:sz w:val="28"/>
          <w:szCs w:val="28"/>
          <w:highlight w:val="white"/>
        </w:rPr>
        <w:t xml:space="preserve">З метою забезпечення ефективності діяльності базової організації </w:t>
      </w:r>
      <w:r w:rsidRPr="00530DAB">
        <w:rPr>
          <w:sz w:val="28"/>
          <w:szCs w:val="28"/>
          <w:highlight w:val="white"/>
        </w:rPr>
        <w:t xml:space="preserve">Мінрозвитку </w:t>
      </w:r>
      <w:r w:rsidRPr="00530DAB">
        <w:rPr>
          <w:sz w:val="28"/>
          <w:szCs w:val="28"/>
          <w:highlight w:val="white"/>
        </w:rPr>
        <w:t xml:space="preserve">проводить </w:t>
      </w:r>
      <w:r w:rsidRPr="00530DAB">
        <w:rPr>
          <w:sz w:val="28"/>
          <w:szCs w:val="28"/>
          <w:highlight w:val="white"/>
        </w:rPr>
        <w:t>моніторинг її діяльності</w:t>
      </w:r>
      <w:r w:rsidRPr="00530DAB">
        <w:rPr>
          <w:sz w:val="28"/>
          <w:szCs w:val="28"/>
          <w:highlight w:val="white"/>
        </w:rPr>
        <w:t>, під час яко</w:t>
      </w:r>
      <w:r w:rsidRPr="00530DAB">
        <w:rPr>
          <w:sz w:val="28"/>
          <w:szCs w:val="28"/>
          <w:highlight w:val="white"/>
        </w:rPr>
        <w:t>го</w:t>
      </w:r>
      <w:r w:rsidRPr="00530DAB">
        <w:rPr>
          <w:sz w:val="28"/>
          <w:szCs w:val="28"/>
          <w:highlight w:val="white"/>
        </w:rPr>
        <w:t xml:space="preserve"> оцінюються </w:t>
      </w:r>
      <w:r w:rsidRPr="00530DAB">
        <w:rPr>
          <w:sz w:val="28"/>
          <w:szCs w:val="28"/>
          <w:highlight w:val="white"/>
        </w:rPr>
        <w:t xml:space="preserve">наявність персоналу, що відповідає вимогам, встановленим пунктом 9 цього Положення, та </w:t>
      </w:r>
      <w:r w:rsidRPr="00530DAB">
        <w:rPr>
          <w:sz w:val="28"/>
          <w:szCs w:val="28"/>
          <w:highlight w:val="white"/>
        </w:rPr>
        <w:t>результати роботи</w:t>
      </w:r>
      <w:r w:rsidRPr="00530DAB">
        <w:rPr>
          <w:sz w:val="28"/>
          <w:szCs w:val="28"/>
          <w:highlight w:val="white"/>
        </w:rPr>
        <w:t xml:space="preserve"> базової організації в ме</w:t>
      </w:r>
      <w:r w:rsidRPr="00530DAB">
        <w:rPr>
          <w:sz w:val="28"/>
          <w:szCs w:val="28"/>
          <w:highlight w:val="white"/>
        </w:rPr>
        <w:t xml:space="preserve">жах завдань, </w:t>
      </w:r>
      <w:r w:rsidRPr="00530DAB">
        <w:rPr>
          <w:sz w:val="28"/>
          <w:szCs w:val="28"/>
          <w:highlight w:val="white"/>
        </w:rPr>
        <w:t xml:space="preserve"> визначених цим Положенням.</w:t>
      </w:r>
    </w:p>
    <w:p w14:paraId="00000060" w14:textId="77777777" w:rsidR="002F6677" w:rsidRPr="00530DAB" w:rsidRDefault="000B3E70" w:rsidP="00643CCE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</w:rPr>
        <w:lastRenderedPageBreak/>
        <w:t xml:space="preserve">17. </w:t>
      </w:r>
      <w:r w:rsidRPr="00530DAB">
        <w:rPr>
          <w:sz w:val="28"/>
          <w:szCs w:val="28"/>
          <w:highlight w:val="white"/>
        </w:rPr>
        <w:t>Підприємство, установа та організація виключається з переліку базових організацій за власним бажанням або на підставі рішення Експертної комісії у разі невиконання завдань, визначених пу</w:t>
      </w:r>
      <w:r w:rsidRPr="00530DAB">
        <w:rPr>
          <w:sz w:val="28"/>
          <w:szCs w:val="28"/>
          <w:highlight w:val="white"/>
        </w:rPr>
        <w:t>нктом 5 і підпунктом 2 пункту 21 цього Положення.</w:t>
      </w:r>
    </w:p>
    <w:p w14:paraId="00000061" w14:textId="77777777" w:rsidR="002F6677" w:rsidRPr="00530DAB" w:rsidRDefault="002F6677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14:paraId="00000062" w14:textId="77777777" w:rsidR="002F6677" w:rsidRPr="00530DAB" w:rsidRDefault="000B3E70" w:rsidP="00643CCE">
      <w:pPr>
        <w:spacing w:after="60"/>
        <w:jc w:val="center"/>
        <w:rPr>
          <w:sz w:val="28"/>
          <w:szCs w:val="28"/>
        </w:rPr>
      </w:pPr>
      <w:r w:rsidRPr="00530DAB">
        <w:rPr>
          <w:b/>
          <w:sz w:val="28"/>
          <w:szCs w:val="28"/>
          <w:highlight w:val="white"/>
        </w:rPr>
        <w:t>Експертна комісія з питань діяльності базових організації у будівництві</w:t>
      </w:r>
    </w:p>
    <w:p w14:paraId="00000063" w14:textId="77777777" w:rsidR="002F6677" w:rsidRPr="00530DAB" w:rsidRDefault="000B3E70" w:rsidP="00643CCE">
      <w:pPr>
        <w:ind w:firstLine="709"/>
        <w:jc w:val="both"/>
        <w:rPr>
          <w:sz w:val="28"/>
          <w:szCs w:val="28"/>
          <w:highlight w:val="white"/>
        </w:rPr>
      </w:pPr>
      <w:r w:rsidRPr="00530DAB">
        <w:rPr>
          <w:sz w:val="28"/>
          <w:szCs w:val="28"/>
        </w:rPr>
        <w:t>18. Для розгляду питань, пов’язаних із формуванням переліку та функціонуванням базових організацій, Мінрозвитку утворює Експертну ком</w:t>
      </w:r>
      <w:r w:rsidRPr="00530DAB">
        <w:rPr>
          <w:sz w:val="28"/>
          <w:szCs w:val="28"/>
        </w:rPr>
        <w:t xml:space="preserve">ісію з питань діяльності базових організації у будівництві (далі – Експертна комісія), </w:t>
      </w:r>
      <w:r w:rsidRPr="00530DAB">
        <w:rPr>
          <w:sz w:val="28"/>
          <w:szCs w:val="28"/>
          <w:highlight w:val="white"/>
        </w:rPr>
        <w:t>яка є постійно діючим колегіальним консультативно-дорадчим органом, до компетенції якого віднесені питання щодо:</w:t>
      </w:r>
    </w:p>
    <w:p w14:paraId="00000064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підготовки рекомендацій щодо розвитку системи та удоскон</w:t>
      </w:r>
      <w:r w:rsidRPr="00530DAB">
        <w:rPr>
          <w:sz w:val="28"/>
          <w:szCs w:val="28"/>
        </w:rPr>
        <w:t>алення роботи базових організації;</w:t>
      </w:r>
    </w:p>
    <w:p w14:paraId="00000065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формування напрямів науково-технічної діяльності у будівництві для цілей нормування у будівництві та виконання завдань базової організації;</w:t>
      </w:r>
    </w:p>
    <w:p w14:paraId="00000066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розгляд заяв та документів, поданих організаціями-претендентами на відповідність </w:t>
      </w:r>
      <w:r w:rsidRPr="00530DAB">
        <w:rPr>
          <w:sz w:val="28"/>
          <w:szCs w:val="28"/>
        </w:rPr>
        <w:t>вимогам щодо компетентності, встановлених пунктом 6 цього Положення, та проведення оцінювання спроможності здійснювати основні завдання базових організацій з метою включення / виключення з переліку базових організацій, зміни або доповнення напряму / напрям</w:t>
      </w:r>
      <w:r w:rsidRPr="00530DAB">
        <w:rPr>
          <w:sz w:val="28"/>
          <w:szCs w:val="28"/>
        </w:rPr>
        <w:t>ів (для організацій, включених до переліку базових організацій);</w:t>
      </w:r>
    </w:p>
    <w:p w14:paraId="00000067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bookmarkStart w:id="1" w:name="_heading=h.z337ya" w:colFirst="0" w:colLast="0"/>
      <w:bookmarkEnd w:id="1"/>
      <w:r w:rsidRPr="00530DAB">
        <w:rPr>
          <w:sz w:val="28"/>
          <w:szCs w:val="28"/>
        </w:rPr>
        <w:t>вивчення результатів та ефективності діяльності базових організацій</w:t>
      </w:r>
      <w:r w:rsidRPr="00530DAB">
        <w:rPr>
          <w:sz w:val="28"/>
          <w:szCs w:val="28"/>
          <w:highlight w:val="white"/>
        </w:rPr>
        <w:t xml:space="preserve"> відповідно до їх основних завдань, визначених цим Положенням, підготовка рекомендацій щодо удосконалення роботи або виключе</w:t>
      </w:r>
      <w:r w:rsidRPr="00530DAB">
        <w:rPr>
          <w:sz w:val="28"/>
          <w:szCs w:val="28"/>
          <w:highlight w:val="white"/>
        </w:rPr>
        <w:t>ння із переліку базових організацій,</w:t>
      </w:r>
      <w:r w:rsidRPr="00530DAB">
        <w:rPr>
          <w:sz w:val="28"/>
          <w:szCs w:val="28"/>
        </w:rPr>
        <w:t xml:space="preserve"> проведення атестації базових організацій.</w:t>
      </w:r>
    </w:p>
    <w:p w14:paraId="00000068" w14:textId="77777777" w:rsidR="002F6677" w:rsidRPr="00530DAB" w:rsidRDefault="000B3E70" w:rsidP="00643CCE">
      <w:pPr>
        <w:ind w:firstLine="709"/>
        <w:jc w:val="both"/>
        <w:rPr>
          <w:sz w:val="28"/>
          <w:szCs w:val="28"/>
          <w:highlight w:val="yellow"/>
        </w:rPr>
      </w:pPr>
      <w:r w:rsidRPr="00530DAB">
        <w:rPr>
          <w:sz w:val="28"/>
          <w:szCs w:val="28"/>
          <w:highlight w:val="white"/>
        </w:rPr>
        <w:t xml:space="preserve">19. Персональний склад Експертної комісії формується Мінрозвитку з числа </w:t>
      </w:r>
      <w:r w:rsidRPr="00530DAB">
        <w:rPr>
          <w:sz w:val="28"/>
          <w:szCs w:val="28"/>
        </w:rPr>
        <w:t>працівників Мінрозвитку та уповноважених представників заінтересованих центральних органів виконавчої вл</w:t>
      </w:r>
      <w:r w:rsidRPr="00530DAB">
        <w:rPr>
          <w:sz w:val="28"/>
          <w:szCs w:val="28"/>
        </w:rPr>
        <w:t>ади, які є суб’єктами нормування у будівництві, а також вчених та фахівців будівельної галузі, що мають досвід наукової та науково-технічної діяльності у відповідній сфері не менше 5 років, профільну освіту, досвід виконання робіт із нормування у будівницт</w:t>
      </w:r>
      <w:r w:rsidRPr="00530DAB">
        <w:rPr>
          <w:sz w:val="28"/>
          <w:szCs w:val="28"/>
        </w:rPr>
        <w:t>ві та/або стандартизації та/або робіт, пов’язаних із створенням об’єктів будівництва, містобудування та архітектури і його складових частин тощо.</w:t>
      </w:r>
    </w:p>
    <w:p w14:paraId="00000069" w14:textId="77777777" w:rsidR="002F6677" w:rsidRPr="00530DAB" w:rsidRDefault="000B3E70" w:rsidP="00643CCE">
      <w:pPr>
        <w:ind w:firstLine="705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Положення про експертну комісію та її персональний склад затверджується Мінрозвитку та оприлюднюється на його </w:t>
      </w:r>
      <w:r w:rsidRPr="00530DAB">
        <w:rPr>
          <w:sz w:val="28"/>
          <w:szCs w:val="28"/>
        </w:rPr>
        <w:t>офіційному вебсайті.</w:t>
      </w:r>
    </w:p>
    <w:p w14:paraId="0000006A" w14:textId="77777777" w:rsidR="002F6677" w:rsidRPr="00530DAB" w:rsidRDefault="002F6677" w:rsidP="00643CCE">
      <w:pPr>
        <w:ind w:firstLine="709"/>
        <w:jc w:val="both"/>
        <w:rPr>
          <w:sz w:val="28"/>
          <w:szCs w:val="28"/>
        </w:rPr>
      </w:pPr>
    </w:p>
    <w:p w14:paraId="0000006B" w14:textId="77777777" w:rsidR="002F6677" w:rsidRPr="00530DAB" w:rsidRDefault="000B3E70" w:rsidP="00643CCE">
      <w:pPr>
        <w:jc w:val="center"/>
        <w:rPr>
          <w:sz w:val="28"/>
          <w:szCs w:val="28"/>
        </w:rPr>
      </w:pPr>
      <w:r w:rsidRPr="00530DAB">
        <w:rPr>
          <w:b/>
          <w:sz w:val="28"/>
          <w:szCs w:val="28"/>
          <w:highlight w:val="white"/>
        </w:rPr>
        <w:t>Права та зобов’язання базової організації</w:t>
      </w:r>
    </w:p>
    <w:p w14:paraId="0000006C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20. Базова організація починає виконувати свої основні завдання з дня набрання чинності наказом Мінрозвитку про включення її до переліку базових організацій.</w:t>
      </w:r>
    </w:p>
    <w:p w14:paraId="0000006D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21</w:t>
      </w:r>
      <w:r w:rsidRPr="00530DAB">
        <w:rPr>
          <w:sz w:val="28"/>
          <w:szCs w:val="28"/>
        </w:rPr>
        <w:t>. Базова організація має право:</w:t>
      </w:r>
    </w:p>
    <w:p w14:paraId="0000006E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здійснювати методологічне забезпечення та надавати консультації щодо застосування будівельних норм іншим організаціям та суб'єктам господарювання;</w:t>
      </w:r>
    </w:p>
    <w:p w14:paraId="0000006F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lastRenderedPageBreak/>
        <w:t>проводити науково-дослідні та дослідно-конструкторські роботи, включаючи вивчення міжнародного досвіду, у сфе</w:t>
      </w:r>
      <w:r w:rsidRPr="00530DAB">
        <w:rPr>
          <w:sz w:val="28"/>
          <w:szCs w:val="28"/>
        </w:rPr>
        <w:t>рі нормування будівництва;</w:t>
      </w:r>
    </w:p>
    <w:p w14:paraId="00000070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ініціювати проведення наукових та науково-практичних конференцій, семінарів та інших заходів;</w:t>
      </w:r>
    </w:p>
    <w:p w14:paraId="00000071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вносити пропозиції щодо удосконалення системи базових організацій;</w:t>
      </w:r>
    </w:p>
    <w:p w14:paraId="00000072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утворювати науково-технічні, координаційні, експертні ради та робочі групи за відповідними напрямами діяльності.</w:t>
      </w:r>
    </w:p>
    <w:p w14:paraId="00000073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22.</w:t>
      </w:r>
      <w:r w:rsidRPr="00530DAB">
        <w:rPr>
          <w:sz w:val="28"/>
          <w:szCs w:val="28"/>
        </w:rPr>
        <w:t xml:space="preserve"> Базова організація </w:t>
      </w:r>
      <w:r w:rsidRPr="00530DAB">
        <w:rPr>
          <w:sz w:val="28"/>
          <w:szCs w:val="28"/>
        </w:rPr>
        <w:t>зобов'язана</w:t>
      </w:r>
      <w:r w:rsidRPr="00530DAB">
        <w:rPr>
          <w:sz w:val="28"/>
          <w:szCs w:val="28"/>
        </w:rPr>
        <w:t>:</w:t>
      </w:r>
    </w:p>
    <w:p w14:paraId="00000074" w14:textId="77777777" w:rsidR="002F6677" w:rsidRPr="00530DAB" w:rsidRDefault="000B3E70" w:rsidP="00643CCE">
      <w:pPr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>у строк до</w:t>
      </w:r>
      <w:r w:rsidRPr="00530DAB">
        <w:rPr>
          <w:sz w:val="28"/>
          <w:szCs w:val="28"/>
        </w:rPr>
        <w:t xml:space="preserve"> 20 січня, що настає за звітним періодом подавати</w:t>
      </w:r>
      <w:r w:rsidRPr="00530DAB">
        <w:rPr>
          <w:sz w:val="28"/>
          <w:szCs w:val="28"/>
        </w:rPr>
        <w:t xml:space="preserve"> Мін</w:t>
      </w:r>
      <w:r w:rsidRPr="00530DAB">
        <w:rPr>
          <w:sz w:val="28"/>
          <w:szCs w:val="28"/>
        </w:rPr>
        <w:t>розвитку та оприлюднювати на власному вебсай</w:t>
      </w:r>
      <w:r w:rsidRPr="00530DAB">
        <w:rPr>
          <w:sz w:val="28"/>
          <w:szCs w:val="28"/>
        </w:rPr>
        <w:t>ті науково-аналітичний звіт про діяльність базової організації за формою, встановленою Мінрозвитку;</w:t>
      </w:r>
    </w:p>
    <w:p w14:paraId="00000075" w14:textId="77777777" w:rsidR="002F6677" w:rsidRPr="00530DAB" w:rsidRDefault="000B3E70" w:rsidP="00643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30DAB">
        <w:rPr>
          <w:sz w:val="28"/>
          <w:szCs w:val="28"/>
        </w:rPr>
        <w:t xml:space="preserve">у </w:t>
      </w:r>
      <w:r w:rsidRPr="00530DAB">
        <w:rPr>
          <w:sz w:val="28"/>
          <w:szCs w:val="28"/>
        </w:rPr>
        <w:t>десятиденний</w:t>
      </w:r>
      <w:r w:rsidRPr="00530DAB">
        <w:rPr>
          <w:sz w:val="28"/>
          <w:szCs w:val="28"/>
        </w:rPr>
        <w:t xml:space="preserve"> строк інформувати Мін</w:t>
      </w:r>
      <w:r w:rsidRPr="00530DAB">
        <w:rPr>
          <w:sz w:val="28"/>
          <w:szCs w:val="28"/>
        </w:rPr>
        <w:t>розвитку</w:t>
      </w:r>
      <w:r w:rsidRPr="00530DAB">
        <w:rPr>
          <w:sz w:val="28"/>
          <w:szCs w:val="28"/>
        </w:rPr>
        <w:t xml:space="preserve"> у разі зміни відомостей про юридичну особу в Єдиному державному реєстрі юридичних осіб, фізичних осіб - підприє</w:t>
      </w:r>
      <w:r w:rsidRPr="00530DAB">
        <w:rPr>
          <w:sz w:val="28"/>
          <w:szCs w:val="28"/>
        </w:rPr>
        <w:t>мців та громадських формувань</w:t>
      </w:r>
      <w:r w:rsidRPr="00530DAB">
        <w:rPr>
          <w:sz w:val="28"/>
          <w:szCs w:val="28"/>
        </w:rPr>
        <w:t>.</w:t>
      </w:r>
    </w:p>
    <w:p w14:paraId="00000077" w14:textId="6BE73F02" w:rsidR="002F6677" w:rsidRPr="00530DAB" w:rsidRDefault="000B3E70" w:rsidP="00643CCE">
      <w:pPr>
        <w:jc w:val="center"/>
        <w:rPr>
          <w:sz w:val="28"/>
          <w:szCs w:val="28"/>
        </w:rPr>
      </w:pPr>
      <w:r w:rsidRPr="00530DAB">
        <w:rPr>
          <w:sz w:val="28"/>
          <w:szCs w:val="28"/>
        </w:rPr>
        <w:t>_________________________________</w:t>
      </w:r>
    </w:p>
    <w:sectPr w:rsidR="002F6677" w:rsidRPr="00530DAB">
      <w:headerReference w:type="default" r:id="rId11"/>
      <w:headerReference w:type="first" r:id="rId12"/>
      <w:pgSz w:w="11900" w:h="16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121D" w14:textId="77777777" w:rsidR="000B3E70" w:rsidRDefault="000B3E70">
      <w:r>
        <w:separator/>
      </w:r>
    </w:p>
  </w:endnote>
  <w:endnote w:type="continuationSeparator" w:id="0">
    <w:p w14:paraId="34AD0FAA" w14:textId="77777777" w:rsidR="000B3E70" w:rsidRDefault="000B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1712" w14:textId="77777777" w:rsidR="000B3E70" w:rsidRDefault="000B3E70">
      <w:r>
        <w:separator/>
      </w:r>
    </w:p>
  </w:footnote>
  <w:footnote w:type="continuationSeparator" w:id="0">
    <w:p w14:paraId="2E2DBD01" w14:textId="77777777" w:rsidR="000B3E70" w:rsidRDefault="000B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A" w14:textId="18B5E90E" w:rsidR="002F6677" w:rsidRDefault="000B3E70">
    <w:pPr>
      <w:jc w:val="center"/>
    </w:pPr>
    <w:r>
      <w:fldChar w:fldCharType="begin"/>
    </w:r>
    <w:r>
      <w:instrText>PAGE</w:instrText>
    </w:r>
    <w:r w:rsidR="006D5A0F">
      <w:fldChar w:fldCharType="separate"/>
    </w:r>
    <w:r w:rsidR="00643CCE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9" w14:textId="77777777" w:rsidR="002F6677" w:rsidRDefault="002F6677" w:rsidP="006D5A0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32008"/>
    <w:multiLevelType w:val="multilevel"/>
    <w:tmpl w:val="18F257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0C7E26"/>
    <w:multiLevelType w:val="multilevel"/>
    <w:tmpl w:val="77346F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77"/>
    <w:rsid w:val="000B3E70"/>
    <w:rsid w:val="002F6677"/>
    <w:rsid w:val="00530DAB"/>
    <w:rsid w:val="00643CCE"/>
    <w:rsid w:val="006D5A0F"/>
    <w:rsid w:val="0098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DFBE"/>
  <w15:docId w15:val="{579F7D64-3E1F-431A-8900-F20D74F9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F4F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14F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9A5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A53B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A53B4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5005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005E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C50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005E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C500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005E"/>
    <w:rPr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5005E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rvps2">
    <w:name w:val="rvps2"/>
    <w:basedOn w:val="a"/>
    <w:rsid w:val="00E24D7E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8B4D6C"/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header"/>
    <w:basedOn w:val="a"/>
    <w:link w:val="af3"/>
    <w:uiPriority w:val="99"/>
    <w:unhideWhenUsed/>
    <w:rsid w:val="006D5A0F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6D5A0F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6D5A0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6D5A0F"/>
    <w:rPr>
      <w:lang w:eastAsia="ru-RU"/>
    </w:rPr>
  </w:style>
  <w:style w:type="paragraph" w:styleId="af6">
    <w:name w:val="List Paragraph"/>
    <w:basedOn w:val="a"/>
    <w:uiPriority w:val="34"/>
    <w:qFormat/>
    <w:rsid w:val="006D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4-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458-202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4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fq2WNlNYLEyAbZr/BIUqUmJeg==">CgMxLjAyCGguejMzN3lhOABqKgoUc3VnZ2VzdC44MnNoZGZnbzZzcDISEk5pY2hvbGFzIENoZXJuZW5rb2opChNzdWdnZXN0Lno4ZGIxaWJrajZ3EhJOaWNob2xhcyBDaGVybmVua29qKgoUc3VnZ2VzdC52Y3UwbzZmM2praWISEk5pY2hvbGFzIENoZXJuZW5rb2oqChRzdWdnZXN0LmFocTFtbnh4a3BhchISTmljaG9sYXMgQ2hlcm5lbmtvaioKFHN1Z2dlc3QudWw2NXljNmgwOHFqEhJOaWNob2xhcyBDaGVybmVua29yITFQZEpRQ09vaDhwRzFQNVVFcXIxT1JaVTdSelp1dVQ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12275</Words>
  <Characters>6998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Філіщук Марія Миколаївна</cp:lastModifiedBy>
  <cp:revision>3</cp:revision>
  <dcterms:created xsi:type="dcterms:W3CDTF">2024-02-24T18:13:00Z</dcterms:created>
  <dcterms:modified xsi:type="dcterms:W3CDTF">2025-10-24T10:39:00Z</dcterms:modified>
</cp:coreProperties>
</file>