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3101130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Надання компенсації для відновлення окремих категорій об'єктів нерухомого майна, пошкоджених внаслідок бойових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електронної публічної послуги "єВідновлення"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пошкоджених об’єктів нерухомого майна самостійно отримувачем компенсації або шляхом замовлення виконання відповідних послуг та робіт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4 977 317,3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5 977 317,3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3 557 318,7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4 557 318,7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-1 419 998,6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-1 419 998,6</w:t>
            </w:r>
          </w:p>
        </w:tc>
      </w:tr>
      <w:tr>
        <w:trPr>
          <w:trHeight w:hRule="exact" w:val="151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для відновлення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 об’єктів нерухомого майна, пошкоджених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 “єВідновлення” (ремонти категорії А до 200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 гривень).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2 574 267,3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2 974 267,3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2 451 742,4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2 851 742,4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-122 524,9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-122 524,9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 бюджетної програми у 2025 році здійснювалося на підставі: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Закону України «Про Державний бюджет України на 2025 рік» (загальний фонд);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розпорядження Кабінету Міністрів України від 09.05.2025 № 456-р «Про виділення коштів з фонду ліквідації наслідків збройної агресії» (спеціальний фонд);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15.07.2025 № 864 «Деякі питання реалізації Проекту «Ремонт житла для відновлення прав і можливостей людей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(НОРЕ)» (спеціальний фонд);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26.11.2025 № 1517 «Про виділення коштів з фонду ліквідації наслідків збройної агресії» (спеціальний фонд).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Постанови № 864, плановий обсяг залучення кредитних ресурсів від МАР (Угода № 7802-UA) був визначений у сумі 3 703 050,0 тис. грн, із яких 1 485 000,0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 — видатки споживання (категорія А) та 2 218 050,0 тис. грн — видатки розвитку (категорія Б).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Фактичне касове виконання склало 2 283 051,4 тис. грн, у тому числі за категорією А — 1 362 475,1 тис. грн та за категорією Б — 920 576,3 тис.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Основними чинниками відхилення касових видатків від планових показників є: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Реєстровий принцип фінансування: Залучення та спрямування коштів здійснювалося відповідно до фактично сформованих реєстрів отримувачів компенсації,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базувалися на реальній розрахунковій потребі у фінансуванні протягом звітного періоду.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Структура пошкоджень об'єктів: У загальному обсязі фактично наданих компенсацій переважали видатки на ремонти категорії А. Це зумовлено переважною часткою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із незначними пошкодженнями, що потребували оперативного відновлення (видатки споживання), у порівнянні з капітальними ремонтами категорії Б.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Валютно-курсові різниці: Відхилення касових видатків за категорією А (122 524,9 тис. грн) та категорією Б (1 297 473,7 тис. грн) спричинене різницею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прогнозним курсом валюти позики на момент прийняття Постанови № 864 та фактичним курсом на дати конвертації кожного окремого траншу.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Коригування обсягів кредитування: Від’ємне відхилення за категорією Б також зумовлене уточненням фактичного обсягу позики від Світового банку в процесі вибірки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під конкретні реєстри пошкодженого майна.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1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для відновлення окремих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категорій об’єктів нерухомого майна, пошкоджених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 “єВідновлення” (ремонти категорії Б від 200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 500 тис. гривень).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2 403 050,0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3 003 050,0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1 105 576,3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1 705 576,3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-1 297 473,7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-1 297 473,7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 бюджетної програми у 2025 році здійснювалося на підставі: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Закону України «Про Державний бюджет України на 2025 рік» (загальний фонд);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розпорядження Кабінету Міністрів України від 09.05.2025 № 456-р «Про виділення коштів з фонду ліквідації наслідків збройної агресії» (спеціальний фонд);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15.07.2025 № 864 «Деякі питання реалізації Проекту «Ремонт житла для відновлення прав і можливостей людей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(НОРЕ)» (спеціальний фонд);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26.11.2025 № 1517 «Про виділення коштів з фонду ліквідації наслідків збройної агресії» (спеціальний фонд).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Постанови № 864, плановий обсяг залучення кредитних ресурсів від МАР (Угода № 7802-UA) був визначений у сумі 3 703 050,0 тис. грн, із яких 1 485 000,0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 — видатки споживання (категорія А) та 2 218 050,0 тис. грн — видатки розвитку (категорія Б).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Фактичне касове виконання склало 2 283 051,4 тис. грн, у тому числі за категорією А — 1 362 475,1 тис. грн та за категорією Б — 920 576,3 тис.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Основними чинниками відхилення касових видатків від планових показників є: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Реєстровий принцип фінансування: Залучення та спрямування коштів здійснювалося відповідно до фактично сформованих реєстрів отримувачів компенсації,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базувалися на реальній розрахунковій потребі у фінансуванні протягом звітного періоду.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Структура пошкоджень об'єктів: У загальному обсязі фактично наданих компенсацій переважали видатки на ремонти категорії А. Це зумовлено переважною часткою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із незначними пошкодженнями, що потребували оперативного відновлення (видатки споживання), у порівнянні з капітальними ремонтами категорії Б.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Валютно-курсові різниці: Відхилення касових видатків за категорією А (122 524,9 тис. грн) та категорією Б (1 297 473,7 тис. грн) спричинене різницею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прогнозним курсом валюти позики на момент прийняття Постанови № 864 та фактичним курсом на дати конвертації кожного окремого траншу.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•</w:t>
              <w:tab/>
              <w:t>Коригування обсягів кредитування: Від’ємне відхилення за категорією Б також зумовлене уточненням фактичного обсягу позики від Світового банку в процесі вибірки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під конкретні реєстри пошкодженого майна.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для відновлення окремих категорій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 нерухомого майна, пошкоджених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 (ремонти категорії А до 200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2 986 662,4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4 045 064,4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1 058 402,0</w:t>
            </w:r>
          </w:p>
        </w:tc>
      </w:tr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для відновлення окремих категорій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 нерухомого майна, пошкоджених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 (ремонти категорії Б від 200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 тис. гривень)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3 839 043,0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5 236 882,3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1 397 839,3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об'єктів, щодо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 виплату компенсації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53 549,0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72 939,0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19 390,0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А, щодо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 виплату компенсації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42 304,0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57 622,0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15 318,0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Б, щодо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 виплату компенсації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11 245,0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15 317,0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4 072,0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інтенсивності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839,3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за які надано компенсацію розміром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 тис. гривень для виконання ремонтів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42 128,0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40 623,0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-1 505,0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за які надано компенсацію розміром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 до 500 тис. гривень для виконання ремонтів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8 796,0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4 989,0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-3 807,0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(категорія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(категорія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 майна категорії 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-0,4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 майна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341,4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341,9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Незначні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А,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 яких надано компенсацію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об’єктів нерухомого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яких прийнято рішення про виплату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категорії 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70,5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-29,1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Б,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пошкодження яких надано компенсацію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об’єктів нерухомого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яких прийнято рішення про виплату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категорії 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-45,6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(категорія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гривень).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318,7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21.04.2023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отримувачам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846,9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об’єктах).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47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6eaec9ea-4780-43bd-ac7e-d4f6f5a4aa9b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CA86A0F811FF1FDB703C23D8E7F8095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