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Енергоефективність громадських будівель в Україні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з підвищення енергоефективності громадських будівель, які передбачають масштабну реконструкцію будівель шляхом розширення інвестицій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термомодернізацію будівель бюджетної сфери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громадських будівель в Україні"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-1 560 135,8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-1 560 135,8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Станом на 01.01.2026 року відбулось дві вибірки кредитних коштів на  загальну суму 10 372,9 тис. євро.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 вибірка кредитних коштів відбулась 20.10.2025 на суму 4857,5 тис. євро по курсу НБУ 48,762 за 1 євро., що становить 236 861,4 тис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 вибірка кредитних коштів відбулась 16.12.2025 на суму 5 515,4 тис. євро по курсу НБУ 49,654 за 1 євро., що становить  273 867,4 тис грн.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 причини, які впливали на відхилення обсягів касових видатків за напрямом "Виконання заходів в рамках проекту "Енергоефективність громадських будівель в Україні".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реалізація заходів за бюджетними програмами здійснювалася в умовах суттєвого зростання вартості будівельно-монтажних робіт, матеріалів та обладнання,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зумовило необхідність коригування проєктно-кошторисної документації всіма територіальними громадами та проведення її повторної експертизи. Крім того, виконання робіт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 несприятливими погодними умовами, перебоями в електропостачанні, порушенням логістичних ланцюгів і затримками постачання матеріалів унаслідок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 ситуації, що призвело до зміщення календарних графіків виконання робіт.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 чинниками стали тривалі строки погодження змін до проєктної документації та складні багаторівневі процедури вибірки коштів, що сукупно призвело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 призупинення виконання робіт та нездійснення у повному обсязі запланованих на 2025 рік видатків.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виконання бюджетних програм у наступних періодах вжито організаційно-управлінські заходи, зокрема здійснюється коригування та повторна експертиза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 актуалізація календарних планів, оптимізація процедур погодження фінансової документації та посилення координації між усіма учасниками проєктів.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у громадах"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-865 097,9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-865 097,9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Проєкту здійснюється двома кінцевими бенефіціарами: Житомирською та Запорізькою міськими радами.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Житомирською міською радою забезпечено проведення процедури відбору Консультанта, за результатами якої у ІІ кварталі 2025 року було укладено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 Водночас умовами Контракту не передбачено здійснення авансового платежу за рахунок коштів проєкту, у зв’язку з чим фактичні видатки у 2025 році не проводилися.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 відбору Консультанта був тривалим у зв’язку з необхідністю багаторазового доопрацювання умов Контракту з урахуванням зауважень як з боку Банку, так і з боку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 що суттєво вплинуло на відставання від затвердженого графіка реалізації Проєкту.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 у звітному періоді спільно з Консультантом розпочато та завершено підготовку проєктно-кошторисної документації за першим лотом, який охоплює дві будівлі,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 розпочато процедуру розроблення проєктно-кошторисної документації за другим лотом, що включає п’ять будівель. Зазначені заходи створили передумови для активізації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Проєкту та здійснення відповідних видатків у наступному бюджетному періоді.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м. Запоріжжя затримка у реалізації Проєкту зумовлена насамперед складною безпековою ситуацією в регіоні, що суттєво ускладнило організацію та проведення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 У ІІІ кварталі 2025 року розпочато спрощену процедуру укладення Контракту з Консультантом. Також Запорізькою міською радою направлено офіційний запит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 Fichtner щодо надання цінової та технічної пропозиції. Після її отримання планується проведення переговорів та укладення Контракту з Консультантом, що дозволить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 подальшу реалізацію Проєкту та освоєння коштів у встановлені строки.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 організацій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ЄІБ,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 та KfW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6 099 300,0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510 728,8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-5 588 571,2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проекту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 в 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4 860 000,0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510 728,8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-4 349 271,2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проекту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КМУ та KfW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1 239 300,0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-1 239 300,0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будівель, які планується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термомодернізувати у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громадських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будівель,  які планується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термомодернізувати у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у громадах"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КМУ та KfW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1,2,4.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49,654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: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термомодернізованих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 в рамках проекту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 в 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-33,0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термомодернізованих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проекту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КМУ та KfW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: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термомодернізацію однієї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 за проектом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 в 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48 376,0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-48 376,0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термомодернізацію однієї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 за проектом 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30 896,4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-30 896,4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: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громадах":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проектів за рахунок залучених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 коштів міжнародних фінансових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-43,6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термомодернізації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громадських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термомодернізації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у громадах"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 видатків на оплату енергоносіїв,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впровадження проектів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 Фінансово-економічне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обґрунтування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1,2,4.Серед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четвертого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мільярдам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рейтингового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Ковельської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80-87%,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30%.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громадах":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49,654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четвертого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рейтингового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Ковельської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80-87%,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30%.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5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d4b86726-6b01-48ee-a870-4cf33e8f3dc5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3D426DAA2C773550DFE1DD52AA2A49E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